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43B73" w14:textId="72902E6B" w:rsidR="000977E9" w:rsidRPr="00CF5549" w:rsidRDefault="00754570" w:rsidP="003C4579">
      <w:pPr>
        <w:pStyle w:val="Titre"/>
        <w:pBdr>
          <w:right w:val="single" w:sz="24" w:space="10" w:color="468A6F" w:themeColor="accent2" w:themeShade="80"/>
        </w:pBdr>
        <w:spacing w:after="0"/>
      </w:pPr>
      <w:r w:rsidRPr="00CF5549">
        <w:rPr>
          <w:b w:val="0"/>
          <w:bCs/>
        </w:rPr>
        <w:t>Convocatoria</w:t>
      </w:r>
      <w:r w:rsidR="006673B7" w:rsidRPr="00CF5549">
        <w:t xml:space="preserve"> “</w:t>
      </w:r>
      <w:r w:rsidR="0096479E">
        <w:t>INNOVACIÓ</w:t>
      </w:r>
      <w:r w:rsidR="00CF5549">
        <w:t>N</w:t>
      </w:r>
      <w:r w:rsidRPr="00CF5549">
        <w:t xml:space="preserve"> Eurorregional</w:t>
      </w:r>
      <w:r w:rsidR="006673B7" w:rsidRPr="00CF5549">
        <w:t>” 2022</w:t>
      </w:r>
    </w:p>
    <w:p w14:paraId="3589D35E" w14:textId="2BB2452C" w:rsidR="000977E9" w:rsidRDefault="00970138" w:rsidP="006673B7">
      <w:pPr>
        <w:pStyle w:val="Sous-titre"/>
      </w:pPr>
      <w:r>
        <w:t>Pliego de condiciones</w:t>
      </w:r>
    </w:p>
    <w:sdt>
      <w:sdtPr>
        <w:rPr>
          <w:rFonts w:ascii="Roboto" w:eastAsiaTheme="minorHAnsi" w:hAnsi="Roboto" w:cstheme="minorBidi"/>
          <w:color w:val="auto"/>
          <w:sz w:val="22"/>
          <w:szCs w:val="22"/>
          <w:lang w:val="fr-FR" w:eastAsia="en-US"/>
        </w:rPr>
        <w:id w:val="-1999188758"/>
        <w:docPartObj>
          <w:docPartGallery w:val="Table of Contents"/>
          <w:docPartUnique/>
        </w:docPartObj>
      </w:sdtPr>
      <w:sdtEndPr>
        <w:rPr>
          <w:b/>
          <w:bCs/>
        </w:rPr>
      </w:sdtEndPr>
      <w:sdtContent>
        <w:p w14:paraId="182A936F" w14:textId="4780061D" w:rsidR="00256DFA" w:rsidRDefault="00256DFA">
          <w:pPr>
            <w:pStyle w:val="En-ttedetabledesmatires"/>
          </w:pPr>
        </w:p>
        <w:p w14:paraId="795EF40A" w14:textId="4C5EE853" w:rsidR="00612059" w:rsidRDefault="00256DFA">
          <w:pPr>
            <w:pStyle w:val="TM1"/>
            <w:tabs>
              <w:tab w:val="left" w:pos="440"/>
              <w:tab w:val="right" w:leader="dot" w:pos="9062"/>
            </w:tabs>
            <w:rPr>
              <w:rFonts w:asciiTheme="minorHAnsi" w:eastAsiaTheme="minorEastAsia" w:hAnsiTheme="minorHAnsi"/>
              <w:noProof/>
              <w:lang w:eastAsia="es-ES"/>
            </w:rPr>
          </w:pPr>
          <w:r>
            <w:fldChar w:fldCharType="begin"/>
          </w:r>
          <w:r>
            <w:instrText xml:space="preserve"> TOC \o "1-3" \h \z \u </w:instrText>
          </w:r>
          <w:r>
            <w:fldChar w:fldCharType="separate"/>
          </w:r>
          <w:hyperlink w:anchor="_Toc98435841" w:history="1">
            <w:r w:rsidR="00612059" w:rsidRPr="004B1EE3">
              <w:rPr>
                <w:rStyle w:val="Lienhypertexte"/>
                <w:noProof/>
              </w:rPr>
              <w:t>1.</w:t>
            </w:r>
            <w:r w:rsidR="00612059">
              <w:rPr>
                <w:rFonts w:asciiTheme="minorHAnsi" w:eastAsiaTheme="minorEastAsia" w:hAnsiTheme="minorHAnsi"/>
                <w:noProof/>
                <w:lang w:eastAsia="es-ES"/>
              </w:rPr>
              <w:tab/>
            </w:r>
            <w:r w:rsidR="00612059" w:rsidRPr="004B1EE3">
              <w:rPr>
                <w:rStyle w:val="Lienhypertexte"/>
                <w:noProof/>
              </w:rPr>
              <w:t>Objeto</w:t>
            </w:r>
            <w:r w:rsidR="00612059">
              <w:rPr>
                <w:noProof/>
                <w:webHidden/>
              </w:rPr>
              <w:tab/>
            </w:r>
            <w:r w:rsidR="00612059">
              <w:rPr>
                <w:noProof/>
                <w:webHidden/>
              </w:rPr>
              <w:fldChar w:fldCharType="begin"/>
            </w:r>
            <w:r w:rsidR="00612059">
              <w:rPr>
                <w:noProof/>
                <w:webHidden/>
              </w:rPr>
              <w:instrText xml:space="preserve"> PAGEREF _Toc98435841 \h </w:instrText>
            </w:r>
            <w:r w:rsidR="00612059">
              <w:rPr>
                <w:noProof/>
                <w:webHidden/>
              </w:rPr>
            </w:r>
            <w:r w:rsidR="00612059">
              <w:rPr>
                <w:noProof/>
                <w:webHidden/>
              </w:rPr>
              <w:fldChar w:fldCharType="separate"/>
            </w:r>
            <w:r w:rsidR="00612059">
              <w:rPr>
                <w:noProof/>
                <w:webHidden/>
              </w:rPr>
              <w:t>2</w:t>
            </w:r>
            <w:r w:rsidR="00612059">
              <w:rPr>
                <w:noProof/>
                <w:webHidden/>
              </w:rPr>
              <w:fldChar w:fldCharType="end"/>
            </w:r>
          </w:hyperlink>
        </w:p>
        <w:p w14:paraId="4AC51B71" w14:textId="20C08D6A" w:rsidR="00612059" w:rsidRDefault="00000000">
          <w:pPr>
            <w:pStyle w:val="TM1"/>
            <w:tabs>
              <w:tab w:val="left" w:pos="440"/>
              <w:tab w:val="right" w:leader="dot" w:pos="9062"/>
            </w:tabs>
            <w:rPr>
              <w:rFonts w:asciiTheme="minorHAnsi" w:eastAsiaTheme="minorEastAsia" w:hAnsiTheme="minorHAnsi"/>
              <w:noProof/>
              <w:lang w:eastAsia="es-ES"/>
            </w:rPr>
          </w:pPr>
          <w:hyperlink w:anchor="_Toc98435842" w:history="1">
            <w:r w:rsidR="00612059" w:rsidRPr="004B1EE3">
              <w:rPr>
                <w:rStyle w:val="Lienhypertexte"/>
                <w:noProof/>
                <w:lang w:val="es-ES_tradnl"/>
              </w:rPr>
              <w:t>2.</w:t>
            </w:r>
            <w:r w:rsidR="00612059">
              <w:rPr>
                <w:rFonts w:asciiTheme="minorHAnsi" w:eastAsiaTheme="minorEastAsia" w:hAnsiTheme="minorHAnsi"/>
                <w:noProof/>
                <w:lang w:eastAsia="es-ES"/>
              </w:rPr>
              <w:tab/>
            </w:r>
            <w:r w:rsidR="00612059" w:rsidRPr="004B1EE3">
              <w:rPr>
                <w:rStyle w:val="Lienhypertexte"/>
                <w:noProof/>
                <w:lang w:val="es-ES_tradnl"/>
              </w:rPr>
              <w:t>Territorios elegibles</w:t>
            </w:r>
            <w:r w:rsidR="00612059">
              <w:rPr>
                <w:noProof/>
                <w:webHidden/>
              </w:rPr>
              <w:tab/>
            </w:r>
            <w:r w:rsidR="00612059">
              <w:rPr>
                <w:noProof/>
                <w:webHidden/>
              </w:rPr>
              <w:fldChar w:fldCharType="begin"/>
            </w:r>
            <w:r w:rsidR="00612059">
              <w:rPr>
                <w:noProof/>
                <w:webHidden/>
              </w:rPr>
              <w:instrText xml:space="preserve"> PAGEREF _Toc98435842 \h </w:instrText>
            </w:r>
            <w:r w:rsidR="00612059">
              <w:rPr>
                <w:noProof/>
                <w:webHidden/>
              </w:rPr>
            </w:r>
            <w:r w:rsidR="00612059">
              <w:rPr>
                <w:noProof/>
                <w:webHidden/>
              </w:rPr>
              <w:fldChar w:fldCharType="separate"/>
            </w:r>
            <w:r w:rsidR="00612059">
              <w:rPr>
                <w:noProof/>
                <w:webHidden/>
              </w:rPr>
              <w:t>3</w:t>
            </w:r>
            <w:r w:rsidR="00612059">
              <w:rPr>
                <w:noProof/>
                <w:webHidden/>
              </w:rPr>
              <w:fldChar w:fldCharType="end"/>
            </w:r>
          </w:hyperlink>
        </w:p>
        <w:p w14:paraId="06BAA8FA" w14:textId="17DE5506" w:rsidR="00612059" w:rsidRDefault="00000000">
          <w:pPr>
            <w:pStyle w:val="TM1"/>
            <w:tabs>
              <w:tab w:val="left" w:pos="440"/>
              <w:tab w:val="right" w:leader="dot" w:pos="9062"/>
            </w:tabs>
            <w:rPr>
              <w:rFonts w:asciiTheme="minorHAnsi" w:eastAsiaTheme="minorEastAsia" w:hAnsiTheme="minorHAnsi"/>
              <w:noProof/>
              <w:lang w:eastAsia="es-ES"/>
            </w:rPr>
          </w:pPr>
          <w:hyperlink w:anchor="_Toc98435843" w:history="1">
            <w:r w:rsidR="00612059" w:rsidRPr="004B1EE3">
              <w:rPr>
                <w:rStyle w:val="Lienhypertexte"/>
                <w:noProof/>
                <w:lang w:val="es-ES_tradnl"/>
              </w:rPr>
              <w:t>3.</w:t>
            </w:r>
            <w:r w:rsidR="00612059">
              <w:rPr>
                <w:rFonts w:asciiTheme="minorHAnsi" w:eastAsiaTheme="minorEastAsia" w:hAnsiTheme="minorHAnsi"/>
                <w:noProof/>
                <w:lang w:eastAsia="es-ES"/>
              </w:rPr>
              <w:tab/>
            </w:r>
            <w:r w:rsidR="00612059" w:rsidRPr="004B1EE3">
              <w:rPr>
                <w:rStyle w:val="Lienhypertexte"/>
                <w:noProof/>
                <w:lang w:val="es-ES_tradnl"/>
              </w:rPr>
              <w:t>Temáticas</w:t>
            </w:r>
            <w:r w:rsidR="00612059">
              <w:rPr>
                <w:noProof/>
                <w:webHidden/>
              </w:rPr>
              <w:tab/>
            </w:r>
            <w:r w:rsidR="00612059">
              <w:rPr>
                <w:noProof/>
                <w:webHidden/>
              </w:rPr>
              <w:fldChar w:fldCharType="begin"/>
            </w:r>
            <w:r w:rsidR="00612059">
              <w:rPr>
                <w:noProof/>
                <w:webHidden/>
              </w:rPr>
              <w:instrText xml:space="preserve"> PAGEREF _Toc98435843 \h </w:instrText>
            </w:r>
            <w:r w:rsidR="00612059">
              <w:rPr>
                <w:noProof/>
                <w:webHidden/>
              </w:rPr>
            </w:r>
            <w:r w:rsidR="00612059">
              <w:rPr>
                <w:noProof/>
                <w:webHidden/>
              </w:rPr>
              <w:fldChar w:fldCharType="separate"/>
            </w:r>
            <w:r w:rsidR="00612059">
              <w:rPr>
                <w:noProof/>
                <w:webHidden/>
              </w:rPr>
              <w:t>4</w:t>
            </w:r>
            <w:r w:rsidR="00612059">
              <w:rPr>
                <w:noProof/>
                <w:webHidden/>
              </w:rPr>
              <w:fldChar w:fldCharType="end"/>
            </w:r>
          </w:hyperlink>
        </w:p>
        <w:p w14:paraId="41F13A04" w14:textId="6B6CE9B1" w:rsidR="00612059" w:rsidRDefault="00000000">
          <w:pPr>
            <w:pStyle w:val="TM1"/>
            <w:tabs>
              <w:tab w:val="left" w:pos="440"/>
              <w:tab w:val="right" w:leader="dot" w:pos="9062"/>
            </w:tabs>
            <w:rPr>
              <w:rFonts w:asciiTheme="minorHAnsi" w:eastAsiaTheme="minorEastAsia" w:hAnsiTheme="minorHAnsi"/>
              <w:noProof/>
              <w:lang w:eastAsia="es-ES"/>
            </w:rPr>
          </w:pPr>
          <w:hyperlink w:anchor="_Toc98435844" w:history="1">
            <w:r w:rsidR="00612059" w:rsidRPr="004B1EE3">
              <w:rPr>
                <w:rStyle w:val="Lienhypertexte"/>
                <w:noProof/>
                <w:lang w:val="es-ES_tradnl"/>
              </w:rPr>
              <w:t>4.</w:t>
            </w:r>
            <w:r w:rsidR="00612059">
              <w:rPr>
                <w:rFonts w:asciiTheme="minorHAnsi" w:eastAsiaTheme="minorEastAsia" w:hAnsiTheme="minorHAnsi"/>
                <w:noProof/>
                <w:lang w:eastAsia="es-ES"/>
              </w:rPr>
              <w:tab/>
            </w:r>
            <w:r w:rsidR="00612059" w:rsidRPr="004B1EE3">
              <w:rPr>
                <w:rStyle w:val="Lienhypertexte"/>
                <w:noProof/>
                <w:lang w:val="es-ES_tradnl"/>
              </w:rPr>
              <w:t>Entidades beneficiarias</w:t>
            </w:r>
            <w:r w:rsidR="00612059">
              <w:rPr>
                <w:noProof/>
                <w:webHidden/>
              </w:rPr>
              <w:tab/>
            </w:r>
            <w:r w:rsidR="00612059">
              <w:rPr>
                <w:noProof/>
                <w:webHidden/>
              </w:rPr>
              <w:fldChar w:fldCharType="begin"/>
            </w:r>
            <w:r w:rsidR="00612059">
              <w:rPr>
                <w:noProof/>
                <w:webHidden/>
              </w:rPr>
              <w:instrText xml:space="preserve"> PAGEREF _Toc98435844 \h </w:instrText>
            </w:r>
            <w:r w:rsidR="00612059">
              <w:rPr>
                <w:noProof/>
                <w:webHidden/>
              </w:rPr>
            </w:r>
            <w:r w:rsidR="00612059">
              <w:rPr>
                <w:noProof/>
                <w:webHidden/>
              </w:rPr>
              <w:fldChar w:fldCharType="separate"/>
            </w:r>
            <w:r w:rsidR="00612059">
              <w:rPr>
                <w:noProof/>
                <w:webHidden/>
              </w:rPr>
              <w:t>4</w:t>
            </w:r>
            <w:r w:rsidR="00612059">
              <w:rPr>
                <w:noProof/>
                <w:webHidden/>
              </w:rPr>
              <w:fldChar w:fldCharType="end"/>
            </w:r>
          </w:hyperlink>
        </w:p>
        <w:p w14:paraId="5E4B71F6" w14:textId="7ED21EF6" w:rsidR="00612059" w:rsidRDefault="00000000">
          <w:pPr>
            <w:pStyle w:val="TM1"/>
            <w:tabs>
              <w:tab w:val="left" w:pos="440"/>
              <w:tab w:val="right" w:leader="dot" w:pos="9062"/>
            </w:tabs>
            <w:rPr>
              <w:rFonts w:asciiTheme="minorHAnsi" w:eastAsiaTheme="minorEastAsia" w:hAnsiTheme="minorHAnsi"/>
              <w:noProof/>
              <w:lang w:eastAsia="es-ES"/>
            </w:rPr>
          </w:pPr>
          <w:hyperlink w:anchor="_Toc98435845" w:history="1">
            <w:r w:rsidR="00612059" w:rsidRPr="004B1EE3">
              <w:rPr>
                <w:rStyle w:val="Lienhypertexte"/>
                <w:noProof/>
                <w:lang w:val="es-ES_tradnl"/>
              </w:rPr>
              <w:t>5.</w:t>
            </w:r>
            <w:r w:rsidR="00612059">
              <w:rPr>
                <w:rFonts w:asciiTheme="minorHAnsi" w:eastAsiaTheme="minorEastAsia" w:hAnsiTheme="minorHAnsi"/>
                <w:noProof/>
                <w:lang w:eastAsia="es-ES"/>
              </w:rPr>
              <w:tab/>
            </w:r>
            <w:r w:rsidR="00612059" w:rsidRPr="004B1EE3">
              <w:rPr>
                <w:rStyle w:val="Lienhypertexte"/>
                <w:noProof/>
                <w:lang w:val="es-ES_tradnl"/>
              </w:rPr>
              <w:t>Importe y financiación</w:t>
            </w:r>
            <w:r w:rsidR="00612059">
              <w:rPr>
                <w:noProof/>
                <w:webHidden/>
              </w:rPr>
              <w:tab/>
            </w:r>
            <w:r w:rsidR="00612059">
              <w:rPr>
                <w:noProof/>
                <w:webHidden/>
              </w:rPr>
              <w:fldChar w:fldCharType="begin"/>
            </w:r>
            <w:r w:rsidR="00612059">
              <w:rPr>
                <w:noProof/>
                <w:webHidden/>
              </w:rPr>
              <w:instrText xml:space="preserve"> PAGEREF _Toc98435845 \h </w:instrText>
            </w:r>
            <w:r w:rsidR="00612059">
              <w:rPr>
                <w:noProof/>
                <w:webHidden/>
              </w:rPr>
            </w:r>
            <w:r w:rsidR="00612059">
              <w:rPr>
                <w:noProof/>
                <w:webHidden/>
              </w:rPr>
              <w:fldChar w:fldCharType="separate"/>
            </w:r>
            <w:r w:rsidR="00612059">
              <w:rPr>
                <w:noProof/>
                <w:webHidden/>
              </w:rPr>
              <w:t>5</w:t>
            </w:r>
            <w:r w:rsidR="00612059">
              <w:rPr>
                <w:noProof/>
                <w:webHidden/>
              </w:rPr>
              <w:fldChar w:fldCharType="end"/>
            </w:r>
          </w:hyperlink>
        </w:p>
        <w:p w14:paraId="0F5FC14A" w14:textId="601CC90A" w:rsidR="00612059" w:rsidRDefault="00000000">
          <w:pPr>
            <w:pStyle w:val="TM1"/>
            <w:tabs>
              <w:tab w:val="left" w:pos="440"/>
              <w:tab w:val="right" w:leader="dot" w:pos="9062"/>
            </w:tabs>
            <w:rPr>
              <w:rFonts w:asciiTheme="minorHAnsi" w:eastAsiaTheme="minorEastAsia" w:hAnsiTheme="minorHAnsi"/>
              <w:noProof/>
              <w:lang w:eastAsia="es-ES"/>
            </w:rPr>
          </w:pPr>
          <w:hyperlink w:anchor="_Toc98435846" w:history="1">
            <w:r w:rsidR="00612059" w:rsidRPr="004B1EE3">
              <w:rPr>
                <w:rStyle w:val="Lienhypertexte"/>
                <w:noProof/>
                <w:lang w:val="es-ES_tradnl"/>
              </w:rPr>
              <w:t>6.</w:t>
            </w:r>
            <w:r w:rsidR="00612059">
              <w:rPr>
                <w:rFonts w:asciiTheme="minorHAnsi" w:eastAsiaTheme="minorEastAsia" w:hAnsiTheme="minorHAnsi"/>
                <w:noProof/>
                <w:lang w:eastAsia="es-ES"/>
              </w:rPr>
              <w:tab/>
            </w:r>
            <w:r w:rsidR="00612059" w:rsidRPr="004B1EE3">
              <w:rPr>
                <w:rStyle w:val="Lienhypertexte"/>
                <w:noProof/>
                <w:lang w:val="es-ES_tradnl"/>
              </w:rPr>
              <w:t>Presentación y calendario</w:t>
            </w:r>
            <w:r w:rsidR="00612059">
              <w:rPr>
                <w:noProof/>
                <w:webHidden/>
              </w:rPr>
              <w:tab/>
            </w:r>
            <w:r w:rsidR="00612059">
              <w:rPr>
                <w:noProof/>
                <w:webHidden/>
              </w:rPr>
              <w:fldChar w:fldCharType="begin"/>
            </w:r>
            <w:r w:rsidR="00612059">
              <w:rPr>
                <w:noProof/>
                <w:webHidden/>
              </w:rPr>
              <w:instrText xml:space="preserve"> PAGEREF _Toc98435846 \h </w:instrText>
            </w:r>
            <w:r w:rsidR="00612059">
              <w:rPr>
                <w:noProof/>
                <w:webHidden/>
              </w:rPr>
            </w:r>
            <w:r w:rsidR="00612059">
              <w:rPr>
                <w:noProof/>
                <w:webHidden/>
              </w:rPr>
              <w:fldChar w:fldCharType="separate"/>
            </w:r>
            <w:r w:rsidR="00612059">
              <w:rPr>
                <w:noProof/>
                <w:webHidden/>
              </w:rPr>
              <w:t>6</w:t>
            </w:r>
            <w:r w:rsidR="00612059">
              <w:rPr>
                <w:noProof/>
                <w:webHidden/>
              </w:rPr>
              <w:fldChar w:fldCharType="end"/>
            </w:r>
          </w:hyperlink>
        </w:p>
        <w:p w14:paraId="6786DBF8" w14:textId="24B22AB3" w:rsidR="00612059" w:rsidRDefault="00000000">
          <w:pPr>
            <w:pStyle w:val="TM2"/>
            <w:tabs>
              <w:tab w:val="left" w:pos="660"/>
              <w:tab w:val="right" w:leader="dot" w:pos="9062"/>
            </w:tabs>
            <w:rPr>
              <w:rFonts w:asciiTheme="minorHAnsi" w:eastAsiaTheme="minorEastAsia" w:hAnsiTheme="minorHAnsi"/>
              <w:noProof/>
              <w:lang w:eastAsia="es-ES"/>
            </w:rPr>
          </w:pPr>
          <w:hyperlink w:anchor="_Toc98435847" w:history="1">
            <w:r w:rsidR="00612059" w:rsidRPr="004B1EE3">
              <w:rPr>
                <w:rStyle w:val="Lienhypertexte"/>
                <w:noProof/>
                <w:lang w:val="es-ES_tradnl"/>
              </w:rPr>
              <w:t>a.</w:t>
            </w:r>
            <w:r w:rsidR="00612059">
              <w:rPr>
                <w:rFonts w:asciiTheme="minorHAnsi" w:eastAsiaTheme="minorEastAsia" w:hAnsiTheme="minorHAnsi"/>
                <w:noProof/>
                <w:lang w:eastAsia="es-ES"/>
              </w:rPr>
              <w:tab/>
            </w:r>
            <w:r w:rsidR="00612059" w:rsidRPr="004B1EE3">
              <w:rPr>
                <w:rStyle w:val="Lienhypertexte"/>
                <w:noProof/>
                <w:shd w:val="clear" w:color="auto" w:fill="FFFFFF"/>
                <w:lang w:val="es-ES_tradnl"/>
              </w:rPr>
              <w:t>Calendario de la convocatoria de proyectos</w:t>
            </w:r>
            <w:r w:rsidR="00612059">
              <w:rPr>
                <w:noProof/>
                <w:webHidden/>
              </w:rPr>
              <w:tab/>
            </w:r>
            <w:r w:rsidR="00612059">
              <w:rPr>
                <w:noProof/>
                <w:webHidden/>
              </w:rPr>
              <w:fldChar w:fldCharType="begin"/>
            </w:r>
            <w:r w:rsidR="00612059">
              <w:rPr>
                <w:noProof/>
                <w:webHidden/>
              </w:rPr>
              <w:instrText xml:space="preserve"> PAGEREF _Toc98435847 \h </w:instrText>
            </w:r>
            <w:r w:rsidR="00612059">
              <w:rPr>
                <w:noProof/>
                <w:webHidden/>
              </w:rPr>
            </w:r>
            <w:r w:rsidR="00612059">
              <w:rPr>
                <w:noProof/>
                <w:webHidden/>
              </w:rPr>
              <w:fldChar w:fldCharType="separate"/>
            </w:r>
            <w:r w:rsidR="00612059">
              <w:rPr>
                <w:noProof/>
                <w:webHidden/>
              </w:rPr>
              <w:t>6</w:t>
            </w:r>
            <w:r w:rsidR="00612059">
              <w:rPr>
                <w:noProof/>
                <w:webHidden/>
              </w:rPr>
              <w:fldChar w:fldCharType="end"/>
            </w:r>
          </w:hyperlink>
        </w:p>
        <w:p w14:paraId="3BB199C0" w14:textId="3AF318B0" w:rsidR="00612059" w:rsidRDefault="00000000">
          <w:pPr>
            <w:pStyle w:val="TM2"/>
            <w:tabs>
              <w:tab w:val="left" w:pos="660"/>
              <w:tab w:val="right" w:leader="dot" w:pos="9062"/>
            </w:tabs>
            <w:rPr>
              <w:rFonts w:asciiTheme="minorHAnsi" w:eastAsiaTheme="minorEastAsia" w:hAnsiTheme="minorHAnsi"/>
              <w:noProof/>
              <w:lang w:eastAsia="es-ES"/>
            </w:rPr>
          </w:pPr>
          <w:hyperlink w:anchor="_Toc98435848" w:history="1">
            <w:r w:rsidR="00612059" w:rsidRPr="004B1EE3">
              <w:rPr>
                <w:rStyle w:val="Lienhypertexte"/>
                <w:noProof/>
                <w:lang w:val="es-ES_tradnl"/>
              </w:rPr>
              <w:t>b.</w:t>
            </w:r>
            <w:r w:rsidR="00612059">
              <w:rPr>
                <w:rFonts w:asciiTheme="minorHAnsi" w:eastAsiaTheme="minorEastAsia" w:hAnsiTheme="minorHAnsi"/>
                <w:noProof/>
                <w:lang w:eastAsia="es-ES"/>
              </w:rPr>
              <w:tab/>
            </w:r>
            <w:r w:rsidR="00612059" w:rsidRPr="004B1EE3">
              <w:rPr>
                <w:rStyle w:val="Lienhypertexte"/>
                <w:noProof/>
                <w:lang w:val="es-ES_tradnl"/>
              </w:rPr>
              <w:t>Candidatura y documentos</w:t>
            </w:r>
            <w:r w:rsidR="00612059">
              <w:rPr>
                <w:noProof/>
                <w:webHidden/>
              </w:rPr>
              <w:tab/>
            </w:r>
            <w:r w:rsidR="00612059">
              <w:rPr>
                <w:noProof/>
                <w:webHidden/>
              </w:rPr>
              <w:fldChar w:fldCharType="begin"/>
            </w:r>
            <w:r w:rsidR="00612059">
              <w:rPr>
                <w:noProof/>
                <w:webHidden/>
              </w:rPr>
              <w:instrText xml:space="preserve"> PAGEREF _Toc98435848 \h </w:instrText>
            </w:r>
            <w:r w:rsidR="00612059">
              <w:rPr>
                <w:noProof/>
                <w:webHidden/>
              </w:rPr>
            </w:r>
            <w:r w:rsidR="00612059">
              <w:rPr>
                <w:noProof/>
                <w:webHidden/>
              </w:rPr>
              <w:fldChar w:fldCharType="separate"/>
            </w:r>
            <w:r w:rsidR="00612059">
              <w:rPr>
                <w:noProof/>
                <w:webHidden/>
              </w:rPr>
              <w:t>6</w:t>
            </w:r>
            <w:r w:rsidR="00612059">
              <w:rPr>
                <w:noProof/>
                <w:webHidden/>
              </w:rPr>
              <w:fldChar w:fldCharType="end"/>
            </w:r>
          </w:hyperlink>
        </w:p>
        <w:p w14:paraId="276440BB" w14:textId="02D0F794" w:rsidR="00612059" w:rsidRDefault="00000000">
          <w:pPr>
            <w:pStyle w:val="TM2"/>
            <w:tabs>
              <w:tab w:val="left" w:pos="660"/>
              <w:tab w:val="right" w:leader="dot" w:pos="9062"/>
            </w:tabs>
            <w:rPr>
              <w:rFonts w:asciiTheme="minorHAnsi" w:eastAsiaTheme="minorEastAsia" w:hAnsiTheme="minorHAnsi"/>
              <w:noProof/>
              <w:lang w:eastAsia="es-ES"/>
            </w:rPr>
          </w:pPr>
          <w:hyperlink w:anchor="_Toc98435849" w:history="1">
            <w:r w:rsidR="00612059" w:rsidRPr="004B1EE3">
              <w:rPr>
                <w:rStyle w:val="Lienhypertexte"/>
                <w:noProof/>
                <w:lang w:val="es-ES_tradnl"/>
              </w:rPr>
              <w:t>c.</w:t>
            </w:r>
            <w:r w:rsidR="00612059">
              <w:rPr>
                <w:rFonts w:asciiTheme="minorHAnsi" w:eastAsiaTheme="minorEastAsia" w:hAnsiTheme="minorHAnsi"/>
                <w:noProof/>
                <w:lang w:eastAsia="es-ES"/>
              </w:rPr>
              <w:tab/>
            </w:r>
            <w:r w:rsidR="00612059" w:rsidRPr="004B1EE3">
              <w:rPr>
                <w:rStyle w:val="Lienhypertexte"/>
                <w:noProof/>
                <w:lang w:val="es-ES_tradnl"/>
              </w:rPr>
              <w:t>Calendario de realización</w:t>
            </w:r>
            <w:r w:rsidR="00612059">
              <w:rPr>
                <w:noProof/>
                <w:webHidden/>
              </w:rPr>
              <w:tab/>
            </w:r>
            <w:r w:rsidR="00612059">
              <w:rPr>
                <w:noProof/>
                <w:webHidden/>
              </w:rPr>
              <w:fldChar w:fldCharType="begin"/>
            </w:r>
            <w:r w:rsidR="00612059">
              <w:rPr>
                <w:noProof/>
                <w:webHidden/>
              </w:rPr>
              <w:instrText xml:space="preserve"> PAGEREF _Toc98435849 \h </w:instrText>
            </w:r>
            <w:r w:rsidR="00612059">
              <w:rPr>
                <w:noProof/>
                <w:webHidden/>
              </w:rPr>
            </w:r>
            <w:r w:rsidR="00612059">
              <w:rPr>
                <w:noProof/>
                <w:webHidden/>
              </w:rPr>
              <w:fldChar w:fldCharType="separate"/>
            </w:r>
            <w:r w:rsidR="00612059">
              <w:rPr>
                <w:noProof/>
                <w:webHidden/>
              </w:rPr>
              <w:t>7</w:t>
            </w:r>
            <w:r w:rsidR="00612059">
              <w:rPr>
                <w:noProof/>
                <w:webHidden/>
              </w:rPr>
              <w:fldChar w:fldCharType="end"/>
            </w:r>
          </w:hyperlink>
        </w:p>
        <w:p w14:paraId="4C140193" w14:textId="5AC03570" w:rsidR="00612059" w:rsidRDefault="00000000">
          <w:pPr>
            <w:pStyle w:val="TM1"/>
            <w:tabs>
              <w:tab w:val="left" w:pos="440"/>
              <w:tab w:val="right" w:leader="dot" w:pos="9062"/>
            </w:tabs>
            <w:rPr>
              <w:rFonts w:asciiTheme="minorHAnsi" w:eastAsiaTheme="minorEastAsia" w:hAnsiTheme="minorHAnsi"/>
              <w:noProof/>
              <w:lang w:eastAsia="es-ES"/>
            </w:rPr>
          </w:pPr>
          <w:hyperlink w:anchor="_Toc98435850" w:history="1">
            <w:r w:rsidR="00612059" w:rsidRPr="004B1EE3">
              <w:rPr>
                <w:rStyle w:val="Lienhypertexte"/>
                <w:noProof/>
                <w:lang w:val="es-ES_tradnl"/>
              </w:rPr>
              <w:t>7.</w:t>
            </w:r>
            <w:r w:rsidR="00612059">
              <w:rPr>
                <w:rFonts w:asciiTheme="minorHAnsi" w:eastAsiaTheme="minorEastAsia" w:hAnsiTheme="minorHAnsi"/>
                <w:noProof/>
                <w:lang w:eastAsia="es-ES"/>
              </w:rPr>
              <w:tab/>
            </w:r>
            <w:r w:rsidR="00612059" w:rsidRPr="004B1EE3">
              <w:rPr>
                <w:rStyle w:val="Lienhypertexte"/>
                <w:noProof/>
                <w:lang w:val="es-ES_tradnl"/>
              </w:rPr>
              <w:t>Procedimiento de evaluación</w:t>
            </w:r>
            <w:r w:rsidR="00612059">
              <w:rPr>
                <w:noProof/>
                <w:webHidden/>
              </w:rPr>
              <w:tab/>
            </w:r>
            <w:r w:rsidR="00612059">
              <w:rPr>
                <w:noProof/>
                <w:webHidden/>
              </w:rPr>
              <w:fldChar w:fldCharType="begin"/>
            </w:r>
            <w:r w:rsidR="00612059">
              <w:rPr>
                <w:noProof/>
                <w:webHidden/>
              </w:rPr>
              <w:instrText xml:space="preserve"> PAGEREF _Toc98435850 \h </w:instrText>
            </w:r>
            <w:r w:rsidR="00612059">
              <w:rPr>
                <w:noProof/>
                <w:webHidden/>
              </w:rPr>
            </w:r>
            <w:r w:rsidR="00612059">
              <w:rPr>
                <w:noProof/>
                <w:webHidden/>
              </w:rPr>
              <w:fldChar w:fldCharType="separate"/>
            </w:r>
            <w:r w:rsidR="00612059">
              <w:rPr>
                <w:noProof/>
                <w:webHidden/>
              </w:rPr>
              <w:t>7</w:t>
            </w:r>
            <w:r w:rsidR="00612059">
              <w:rPr>
                <w:noProof/>
                <w:webHidden/>
              </w:rPr>
              <w:fldChar w:fldCharType="end"/>
            </w:r>
          </w:hyperlink>
        </w:p>
        <w:p w14:paraId="368D54B9" w14:textId="2299CB19" w:rsidR="00612059" w:rsidRDefault="00000000">
          <w:pPr>
            <w:pStyle w:val="TM1"/>
            <w:tabs>
              <w:tab w:val="left" w:pos="440"/>
              <w:tab w:val="right" w:leader="dot" w:pos="9062"/>
            </w:tabs>
            <w:rPr>
              <w:rFonts w:asciiTheme="minorHAnsi" w:eastAsiaTheme="minorEastAsia" w:hAnsiTheme="minorHAnsi"/>
              <w:noProof/>
              <w:lang w:eastAsia="es-ES"/>
            </w:rPr>
          </w:pPr>
          <w:hyperlink w:anchor="_Toc98435851" w:history="1">
            <w:r w:rsidR="00612059" w:rsidRPr="004B1EE3">
              <w:rPr>
                <w:rStyle w:val="Lienhypertexte"/>
                <w:noProof/>
                <w:lang w:val="es-ES_tradnl"/>
              </w:rPr>
              <w:t>8.</w:t>
            </w:r>
            <w:r w:rsidR="00612059">
              <w:rPr>
                <w:rFonts w:asciiTheme="minorHAnsi" w:eastAsiaTheme="minorEastAsia" w:hAnsiTheme="minorHAnsi"/>
                <w:noProof/>
                <w:lang w:eastAsia="es-ES"/>
              </w:rPr>
              <w:tab/>
            </w:r>
            <w:r w:rsidR="00612059" w:rsidRPr="004B1EE3">
              <w:rPr>
                <w:rStyle w:val="Lienhypertexte"/>
                <w:noProof/>
                <w:lang w:val="es-ES_tradnl"/>
              </w:rPr>
              <w:t>Criterios de selección</w:t>
            </w:r>
            <w:r w:rsidR="00612059">
              <w:rPr>
                <w:noProof/>
                <w:webHidden/>
              </w:rPr>
              <w:tab/>
            </w:r>
            <w:r w:rsidR="00612059">
              <w:rPr>
                <w:noProof/>
                <w:webHidden/>
              </w:rPr>
              <w:fldChar w:fldCharType="begin"/>
            </w:r>
            <w:r w:rsidR="00612059">
              <w:rPr>
                <w:noProof/>
                <w:webHidden/>
              </w:rPr>
              <w:instrText xml:space="preserve"> PAGEREF _Toc98435851 \h </w:instrText>
            </w:r>
            <w:r w:rsidR="00612059">
              <w:rPr>
                <w:noProof/>
                <w:webHidden/>
              </w:rPr>
            </w:r>
            <w:r w:rsidR="00612059">
              <w:rPr>
                <w:noProof/>
                <w:webHidden/>
              </w:rPr>
              <w:fldChar w:fldCharType="separate"/>
            </w:r>
            <w:r w:rsidR="00612059">
              <w:rPr>
                <w:noProof/>
                <w:webHidden/>
              </w:rPr>
              <w:t>8</w:t>
            </w:r>
            <w:r w:rsidR="00612059">
              <w:rPr>
                <w:noProof/>
                <w:webHidden/>
              </w:rPr>
              <w:fldChar w:fldCharType="end"/>
            </w:r>
          </w:hyperlink>
        </w:p>
        <w:p w14:paraId="66F7FB65" w14:textId="25C67266" w:rsidR="00612059" w:rsidRDefault="00000000">
          <w:pPr>
            <w:pStyle w:val="TM1"/>
            <w:tabs>
              <w:tab w:val="left" w:pos="440"/>
              <w:tab w:val="right" w:leader="dot" w:pos="9062"/>
            </w:tabs>
            <w:rPr>
              <w:rFonts w:asciiTheme="minorHAnsi" w:eastAsiaTheme="minorEastAsia" w:hAnsiTheme="minorHAnsi"/>
              <w:noProof/>
              <w:lang w:eastAsia="es-ES"/>
            </w:rPr>
          </w:pPr>
          <w:hyperlink w:anchor="_Toc98435852" w:history="1">
            <w:r w:rsidR="00612059" w:rsidRPr="004B1EE3">
              <w:rPr>
                <w:rStyle w:val="Lienhypertexte"/>
                <w:noProof/>
              </w:rPr>
              <w:t>9.</w:t>
            </w:r>
            <w:r w:rsidR="00612059">
              <w:rPr>
                <w:rFonts w:asciiTheme="minorHAnsi" w:eastAsiaTheme="minorEastAsia" w:hAnsiTheme="minorHAnsi"/>
                <w:noProof/>
                <w:lang w:eastAsia="es-ES"/>
              </w:rPr>
              <w:tab/>
            </w:r>
            <w:r w:rsidR="00612059" w:rsidRPr="004B1EE3">
              <w:rPr>
                <w:rStyle w:val="Lienhypertexte"/>
                <w:noProof/>
              </w:rPr>
              <w:t>Concesión de subvenciones y documentos justificativos</w:t>
            </w:r>
            <w:r w:rsidR="00612059">
              <w:rPr>
                <w:noProof/>
                <w:webHidden/>
              </w:rPr>
              <w:tab/>
            </w:r>
            <w:r w:rsidR="00612059">
              <w:rPr>
                <w:noProof/>
                <w:webHidden/>
              </w:rPr>
              <w:fldChar w:fldCharType="begin"/>
            </w:r>
            <w:r w:rsidR="00612059">
              <w:rPr>
                <w:noProof/>
                <w:webHidden/>
              </w:rPr>
              <w:instrText xml:space="preserve"> PAGEREF _Toc98435852 \h </w:instrText>
            </w:r>
            <w:r w:rsidR="00612059">
              <w:rPr>
                <w:noProof/>
                <w:webHidden/>
              </w:rPr>
            </w:r>
            <w:r w:rsidR="00612059">
              <w:rPr>
                <w:noProof/>
                <w:webHidden/>
              </w:rPr>
              <w:fldChar w:fldCharType="separate"/>
            </w:r>
            <w:r w:rsidR="00612059">
              <w:rPr>
                <w:noProof/>
                <w:webHidden/>
              </w:rPr>
              <w:t>8</w:t>
            </w:r>
            <w:r w:rsidR="00612059">
              <w:rPr>
                <w:noProof/>
                <w:webHidden/>
              </w:rPr>
              <w:fldChar w:fldCharType="end"/>
            </w:r>
          </w:hyperlink>
        </w:p>
        <w:p w14:paraId="527448C0" w14:textId="471D3F93" w:rsidR="00612059" w:rsidRDefault="00000000">
          <w:pPr>
            <w:pStyle w:val="TM2"/>
            <w:tabs>
              <w:tab w:val="left" w:pos="660"/>
              <w:tab w:val="right" w:leader="dot" w:pos="9062"/>
            </w:tabs>
            <w:rPr>
              <w:rFonts w:asciiTheme="minorHAnsi" w:eastAsiaTheme="minorEastAsia" w:hAnsiTheme="minorHAnsi"/>
              <w:noProof/>
              <w:lang w:eastAsia="es-ES"/>
            </w:rPr>
          </w:pPr>
          <w:hyperlink w:anchor="_Toc98435853" w:history="1">
            <w:r w:rsidR="00612059" w:rsidRPr="004B1EE3">
              <w:rPr>
                <w:rStyle w:val="Lienhypertexte"/>
                <w:noProof/>
              </w:rPr>
              <w:t>a.</w:t>
            </w:r>
            <w:r w:rsidR="00612059">
              <w:rPr>
                <w:rFonts w:asciiTheme="minorHAnsi" w:eastAsiaTheme="minorEastAsia" w:hAnsiTheme="minorHAnsi"/>
                <w:noProof/>
                <w:lang w:eastAsia="es-ES"/>
              </w:rPr>
              <w:tab/>
            </w:r>
            <w:r w:rsidR="00612059" w:rsidRPr="004B1EE3">
              <w:rPr>
                <w:rStyle w:val="Lienhypertexte"/>
                <w:noProof/>
              </w:rPr>
              <w:t>Concesión de subvenciones</w:t>
            </w:r>
            <w:r w:rsidR="00612059">
              <w:rPr>
                <w:noProof/>
                <w:webHidden/>
              </w:rPr>
              <w:tab/>
            </w:r>
            <w:r w:rsidR="00612059">
              <w:rPr>
                <w:noProof/>
                <w:webHidden/>
              </w:rPr>
              <w:fldChar w:fldCharType="begin"/>
            </w:r>
            <w:r w:rsidR="00612059">
              <w:rPr>
                <w:noProof/>
                <w:webHidden/>
              </w:rPr>
              <w:instrText xml:space="preserve"> PAGEREF _Toc98435853 \h </w:instrText>
            </w:r>
            <w:r w:rsidR="00612059">
              <w:rPr>
                <w:noProof/>
                <w:webHidden/>
              </w:rPr>
            </w:r>
            <w:r w:rsidR="00612059">
              <w:rPr>
                <w:noProof/>
                <w:webHidden/>
              </w:rPr>
              <w:fldChar w:fldCharType="separate"/>
            </w:r>
            <w:r w:rsidR="00612059">
              <w:rPr>
                <w:noProof/>
                <w:webHidden/>
              </w:rPr>
              <w:t>8</w:t>
            </w:r>
            <w:r w:rsidR="00612059">
              <w:rPr>
                <w:noProof/>
                <w:webHidden/>
              </w:rPr>
              <w:fldChar w:fldCharType="end"/>
            </w:r>
          </w:hyperlink>
        </w:p>
        <w:p w14:paraId="5217DFA4" w14:textId="77B2F532" w:rsidR="00612059" w:rsidRDefault="00000000">
          <w:pPr>
            <w:pStyle w:val="TM2"/>
            <w:tabs>
              <w:tab w:val="left" w:pos="660"/>
              <w:tab w:val="right" w:leader="dot" w:pos="9062"/>
            </w:tabs>
            <w:rPr>
              <w:rFonts w:asciiTheme="minorHAnsi" w:eastAsiaTheme="minorEastAsia" w:hAnsiTheme="minorHAnsi"/>
              <w:noProof/>
              <w:lang w:eastAsia="es-ES"/>
            </w:rPr>
          </w:pPr>
          <w:hyperlink w:anchor="_Toc98435854" w:history="1">
            <w:r w:rsidR="00612059" w:rsidRPr="004B1EE3">
              <w:rPr>
                <w:rStyle w:val="Lienhypertexte"/>
                <w:noProof/>
                <w:lang w:val="es-ES_tradnl"/>
              </w:rPr>
              <w:t>b.</w:t>
            </w:r>
            <w:r w:rsidR="00612059">
              <w:rPr>
                <w:rFonts w:asciiTheme="minorHAnsi" w:eastAsiaTheme="minorEastAsia" w:hAnsiTheme="minorHAnsi"/>
                <w:noProof/>
                <w:lang w:eastAsia="es-ES"/>
              </w:rPr>
              <w:tab/>
            </w:r>
            <w:r w:rsidR="00612059" w:rsidRPr="004B1EE3">
              <w:rPr>
                <w:rStyle w:val="Lienhypertexte"/>
                <w:noProof/>
                <w:lang w:val="es-ES_tradnl"/>
              </w:rPr>
              <w:t>Justificación técnica y financiera</w:t>
            </w:r>
            <w:r w:rsidR="00612059">
              <w:rPr>
                <w:noProof/>
                <w:webHidden/>
              </w:rPr>
              <w:tab/>
            </w:r>
            <w:r w:rsidR="00612059">
              <w:rPr>
                <w:noProof/>
                <w:webHidden/>
              </w:rPr>
              <w:fldChar w:fldCharType="begin"/>
            </w:r>
            <w:r w:rsidR="00612059">
              <w:rPr>
                <w:noProof/>
                <w:webHidden/>
              </w:rPr>
              <w:instrText xml:space="preserve"> PAGEREF _Toc98435854 \h </w:instrText>
            </w:r>
            <w:r w:rsidR="00612059">
              <w:rPr>
                <w:noProof/>
                <w:webHidden/>
              </w:rPr>
            </w:r>
            <w:r w:rsidR="00612059">
              <w:rPr>
                <w:noProof/>
                <w:webHidden/>
              </w:rPr>
              <w:fldChar w:fldCharType="separate"/>
            </w:r>
            <w:r w:rsidR="00612059">
              <w:rPr>
                <w:noProof/>
                <w:webHidden/>
              </w:rPr>
              <w:t>9</w:t>
            </w:r>
            <w:r w:rsidR="00612059">
              <w:rPr>
                <w:noProof/>
                <w:webHidden/>
              </w:rPr>
              <w:fldChar w:fldCharType="end"/>
            </w:r>
          </w:hyperlink>
        </w:p>
        <w:p w14:paraId="78EB7403" w14:textId="4EF5647D" w:rsidR="00612059" w:rsidRDefault="00000000">
          <w:pPr>
            <w:pStyle w:val="TM1"/>
            <w:tabs>
              <w:tab w:val="left" w:pos="660"/>
              <w:tab w:val="right" w:leader="dot" w:pos="9062"/>
            </w:tabs>
            <w:rPr>
              <w:rFonts w:asciiTheme="minorHAnsi" w:eastAsiaTheme="minorEastAsia" w:hAnsiTheme="minorHAnsi"/>
              <w:noProof/>
              <w:lang w:eastAsia="es-ES"/>
            </w:rPr>
          </w:pPr>
          <w:hyperlink w:anchor="_Toc98435855" w:history="1">
            <w:r w:rsidR="00612059" w:rsidRPr="004B1EE3">
              <w:rPr>
                <w:rStyle w:val="Lienhypertexte"/>
                <w:noProof/>
                <w:lang w:val="es-ES_tradnl"/>
              </w:rPr>
              <w:t>10.</w:t>
            </w:r>
            <w:r w:rsidR="00612059">
              <w:rPr>
                <w:rFonts w:asciiTheme="minorHAnsi" w:eastAsiaTheme="minorEastAsia" w:hAnsiTheme="minorHAnsi"/>
                <w:noProof/>
                <w:lang w:eastAsia="es-ES"/>
              </w:rPr>
              <w:tab/>
            </w:r>
            <w:r w:rsidR="00612059" w:rsidRPr="004B1EE3">
              <w:rPr>
                <w:rStyle w:val="Lienhypertexte"/>
                <w:noProof/>
                <w:lang w:val="es-ES_tradnl"/>
              </w:rPr>
              <w:t>Comunicación</w:t>
            </w:r>
            <w:r w:rsidR="00612059">
              <w:rPr>
                <w:noProof/>
                <w:webHidden/>
              </w:rPr>
              <w:tab/>
            </w:r>
            <w:r w:rsidR="00612059">
              <w:rPr>
                <w:noProof/>
                <w:webHidden/>
              </w:rPr>
              <w:fldChar w:fldCharType="begin"/>
            </w:r>
            <w:r w:rsidR="00612059">
              <w:rPr>
                <w:noProof/>
                <w:webHidden/>
              </w:rPr>
              <w:instrText xml:space="preserve"> PAGEREF _Toc98435855 \h </w:instrText>
            </w:r>
            <w:r w:rsidR="00612059">
              <w:rPr>
                <w:noProof/>
                <w:webHidden/>
              </w:rPr>
            </w:r>
            <w:r w:rsidR="00612059">
              <w:rPr>
                <w:noProof/>
                <w:webHidden/>
              </w:rPr>
              <w:fldChar w:fldCharType="separate"/>
            </w:r>
            <w:r w:rsidR="00612059">
              <w:rPr>
                <w:noProof/>
                <w:webHidden/>
              </w:rPr>
              <w:t>9</w:t>
            </w:r>
            <w:r w:rsidR="00612059">
              <w:rPr>
                <w:noProof/>
                <w:webHidden/>
              </w:rPr>
              <w:fldChar w:fldCharType="end"/>
            </w:r>
          </w:hyperlink>
        </w:p>
        <w:p w14:paraId="7BCE8455" w14:textId="0F1E5CCF" w:rsidR="00612059" w:rsidRDefault="00000000">
          <w:pPr>
            <w:pStyle w:val="TM1"/>
            <w:tabs>
              <w:tab w:val="left" w:pos="660"/>
              <w:tab w:val="right" w:leader="dot" w:pos="9062"/>
            </w:tabs>
            <w:rPr>
              <w:rFonts w:asciiTheme="minorHAnsi" w:eastAsiaTheme="minorEastAsia" w:hAnsiTheme="minorHAnsi"/>
              <w:noProof/>
              <w:lang w:eastAsia="es-ES"/>
            </w:rPr>
          </w:pPr>
          <w:hyperlink w:anchor="_Toc98435856" w:history="1">
            <w:r w:rsidR="00612059" w:rsidRPr="004B1EE3">
              <w:rPr>
                <w:rStyle w:val="Lienhypertexte"/>
                <w:noProof/>
              </w:rPr>
              <w:t>11.</w:t>
            </w:r>
            <w:r w:rsidR="00612059">
              <w:rPr>
                <w:rFonts w:asciiTheme="minorHAnsi" w:eastAsiaTheme="minorEastAsia" w:hAnsiTheme="minorHAnsi"/>
                <w:noProof/>
                <w:lang w:eastAsia="es-ES"/>
              </w:rPr>
              <w:tab/>
            </w:r>
            <w:r w:rsidR="00612059" w:rsidRPr="004B1EE3">
              <w:rPr>
                <w:rStyle w:val="Lienhypertexte"/>
                <w:noProof/>
              </w:rPr>
              <w:t>Información y contacto</w:t>
            </w:r>
            <w:r w:rsidR="00612059">
              <w:rPr>
                <w:noProof/>
                <w:webHidden/>
              </w:rPr>
              <w:tab/>
            </w:r>
            <w:r w:rsidR="00612059">
              <w:rPr>
                <w:noProof/>
                <w:webHidden/>
              </w:rPr>
              <w:fldChar w:fldCharType="begin"/>
            </w:r>
            <w:r w:rsidR="00612059">
              <w:rPr>
                <w:noProof/>
                <w:webHidden/>
              </w:rPr>
              <w:instrText xml:space="preserve"> PAGEREF _Toc98435856 \h </w:instrText>
            </w:r>
            <w:r w:rsidR="00612059">
              <w:rPr>
                <w:noProof/>
                <w:webHidden/>
              </w:rPr>
            </w:r>
            <w:r w:rsidR="00612059">
              <w:rPr>
                <w:noProof/>
                <w:webHidden/>
              </w:rPr>
              <w:fldChar w:fldCharType="separate"/>
            </w:r>
            <w:r w:rsidR="00612059">
              <w:rPr>
                <w:noProof/>
                <w:webHidden/>
              </w:rPr>
              <w:t>9</w:t>
            </w:r>
            <w:r w:rsidR="00612059">
              <w:rPr>
                <w:noProof/>
                <w:webHidden/>
              </w:rPr>
              <w:fldChar w:fldCharType="end"/>
            </w:r>
          </w:hyperlink>
        </w:p>
        <w:p w14:paraId="3466B7DB" w14:textId="3CB7AACA" w:rsidR="00256DFA" w:rsidRDefault="00256DFA">
          <w:r>
            <w:rPr>
              <w:b/>
              <w:bCs/>
              <w:lang w:val="fr-FR"/>
            </w:rPr>
            <w:fldChar w:fldCharType="end"/>
          </w:r>
        </w:p>
      </w:sdtContent>
    </w:sdt>
    <w:p w14:paraId="185CB229" w14:textId="77777777" w:rsidR="00256DFA" w:rsidRDefault="00256DFA">
      <w:pPr>
        <w:jc w:val="left"/>
      </w:pPr>
      <w:r>
        <w:br w:type="page"/>
      </w:r>
    </w:p>
    <w:p w14:paraId="3C0BBC98" w14:textId="77777777" w:rsidR="006673B7" w:rsidRDefault="006673B7">
      <w:pPr>
        <w:jc w:val="left"/>
      </w:pPr>
    </w:p>
    <w:p w14:paraId="1E281594" w14:textId="77777777" w:rsidR="009B67B8" w:rsidRDefault="009B67B8" w:rsidP="006673B7">
      <w:pPr>
        <w:rPr>
          <w:rFonts w:cstheme="minorHAnsi"/>
          <w:color w:val="242424"/>
          <w:shd w:val="clear" w:color="auto" w:fill="FFFFFF"/>
        </w:rPr>
      </w:pPr>
    </w:p>
    <w:p w14:paraId="15CBB2C3" w14:textId="77777777" w:rsidR="009B67B8" w:rsidRDefault="009B67B8" w:rsidP="006673B7">
      <w:pPr>
        <w:rPr>
          <w:rFonts w:cstheme="minorHAnsi"/>
          <w:color w:val="242424"/>
          <w:shd w:val="clear" w:color="auto" w:fill="FFFFFF"/>
        </w:rPr>
      </w:pPr>
    </w:p>
    <w:p w14:paraId="11181B11" w14:textId="77777777" w:rsidR="00653C67" w:rsidRPr="00C3299F" w:rsidRDefault="00653C67" w:rsidP="00C3299F">
      <w:pPr>
        <w:pStyle w:val="Citation"/>
        <w:rPr>
          <w:rStyle w:val="CitationCar"/>
        </w:rPr>
      </w:pPr>
      <w:r w:rsidRPr="004C77A0">
        <w:t xml:space="preserve">La AECT Eurorregión Nueva Aquitania Euskadi Navarra es una </w:t>
      </w:r>
      <w:r w:rsidRPr="00AC6C00">
        <w:rPr>
          <w:i/>
          <w:iCs/>
        </w:rPr>
        <w:t>Agrupación Europea de</w:t>
      </w:r>
      <w:r w:rsidRPr="00AC6C00">
        <w:rPr>
          <w:i/>
          <w:iCs/>
        </w:rPr>
        <w:br/>
        <w:t>Cooperación Territorial</w:t>
      </w:r>
      <w:r w:rsidRPr="004C77A0">
        <w:t xml:space="preserve"> creada el 12 de diciembre de 2011 cuya finalidad es promover</w:t>
      </w:r>
      <w:r w:rsidRPr="004C77A0">
        <w:br/>
        <w:t xml:space="preserve">el desarrollo económico, social y cultural del territorio transfronterizo y </w:t>
      </w:r>
      <w:proofErr w:type="spellStart"/>
      <w:r w:rsidRPr="004C77A0">
        <w:t>eurorregional</w:t>
      </w:r>
      <w:proofErr w:type="spellEnd"/>
      <w:r w:rsidRPr="004C77A0">
        <w:t>, fomentando al mismo tiempo los intercambios dentro del mismo.</w:t>
      </w:r>
    </w:p>
    <w:p w14:paraId="64D31372" w14:textId="77777777" w:rsidR="00653C67" w:rsidRPr="004C77A0" w:rsidRDefault="00653C67" w:rsidP="00C3299F">
      <w:pPr>
        <w:pStyle w:val="Citation"/>
      </w:pPr>
      <w:r w:rsidRPr="004C77A0">
        <w:t>Las convocatorias de proyectos de la Eurorregión proporcionan apoyo financiero para fomentar acciones de cooperación entre socios situados en los territorios de la Región Nueva Aquitania, la Comunidad Autónoma de Euskadi y la Comunidad Foral de Navarra.</w:t>
      </w:r>
    </w:p>
    <w:p w14:paraId="121FB776" w14:textId="27167ABE" w:rsidR="00FF598C" w:rsidRPr="00FF598C" w:rsidRDefault="00FF598C" w:rsidP="00FF598C">
      <w:pPr>
        <w:pStyle w:val="Titre1"/>
      </w:pPr>
      <w:bookmarkStart w:id="0" w:name="_Toc94541049"/>
      <w:bookmarkStart w:id="1" w:name="_Toc98435841"/>
      <w:r w:rsidRPr="00FF598C">
        <w:t>Objeto</w:t>
      </w:r>
      <w:bookmarkEnd w:id="0"/>
      <w:bookmarkEnd w:id="1"/>
    </w:p>
    <w:p w14:paraId="65CDDBB1" w14:textId="17560675" w:rsidR="00FF598C" w:rsidRPr="000B7E10" w:rsidRDefault="00FF598C" w:rsidP="00FF598C">
      <w:pPr>
        <w:rPr>
          <w:rFonts w:cstheme="minorHAnsi"/>
          <w:lang w:val="es-ES_tradnl"/>
        </w:rPr>
      </w:pPr>
      <w:r w:rsidRPr="006F213F">
        <w:rPr>
          <w:rFonts w:cstheme="minorHAnsi"/>
          <w:lang w:val="es-ES_tradnl"/>
        </w:rPr>
        <w:t xml:space="preserve">Este documento tiene por objeto definir las condiciones de la convocatoria de proyectos </w:t>
      </w:r>
      <w:r w:rsidRPr="000B7E10">
        <w:rPr>
          <w:rFonts w:cstheme="minorHAnsi"/>
          <w:lang w:val="es-ES_tradnl"/>
        </w:rPr>
        <w:t>"</w:t>
      </w:r>
      <w:r w:rsidR="00A54C47" w:rsidRPr="000B7E10">
        <w:rPr>
          <w:rFonts w:cstheme="minorHAnsi"/>
          <w:lang w:val="es-ES_tradnl"/>
        </w:rPr>
        <w:t>Innovación</w:t>
      </w:r>
      <w:r w:rsidRPr="000B7E10">
        <w:rPr>
          <w:rFonts w:cstheme="minorHAnsi"/>
          <w:lang w:val="es-ES_tradnl"/>
        </w:rPr>
        <w:t xml:space="preserve"> </w:t>
      </w:r>
      <w:proofErr w:type="spellStart"/>
      <w:r w:rsidRPr="000B7E10">
        <w:rPr>
          <w:rFonts w:cstheme="minorHAnsi"/>
          <w:lang w:val="es-ES_tradnl"/>
        </w:rPr>
        <w:t>Eurorregional</w:t>
      </w:r>
      <w:proofErr w:type="spellEnd"/>
      <w:r w:rsidRPr="000B7E10">
        <w:rPr>
          <w:rFonts w:cstheme="minorHAnsi"/>
          <w:lang w:val="es-ES_tradnl"/>
        </w:rPr>
        <w:t xml:space="preserve">" 2022. </w:t>
      </w:r>
    </w:p>
    <w:p w14:paraId="25720D7D" w14:textId="1055EFB7" w:rsidR="00FF598C" w:rsidRPr="000B7E10" w:rsidRDefault="00FF598C" w:rsidP="00FF598C">
      <w:pPr>
        <w:pStyle w:val="NormalWeb"/>
        <w:shd w:val="clear" w:color="auto" w:fill="FFFFFF"/>
        <w:spacing w:before="0" w:beforeAutospacing="0" w:after="0" w:afterAutospacing="0"/>
        <w:jc w:val="both"/>
        <w:rPr>
          <w:rFonts w:ascii="Roboto" w:hAnsi="Roboto" w:cstheme="minorHAnsi"/>
          <w:sz w:val="22"/>
          <w:szCs w:val="22"/>
          <w:lang w:val="es-ES_tradnl"/>
        </w:rPr>
      </w:pPr>
      <w:r w:rsidRPr="000B7E10">
        <w:rPr>
          <w:rFonts w:ascii="Roboto" w:hAnsi="Roboto" w:cstheme="minorHAnsi"/>
          <w:sz w:val="22"/>
          <w:szCs w:val="22"/>
          <w:lang w:val="es-ES_tradnl"/>
        </w:rPr>
        <w:t xml:space="preserve">La Eurorregión Nueva-Aquitania Euskadi Navarra, a través de su convocatoria transfronteriza de proyectos dedicada a la </w:t>
      </w:r>
      <w:r w:rsidR="007B5405" w:rsidRPr="000B7E10">
        <w:rPr>
          <w:rFonts w:ascii="Roboto" w:hAnsi="Roboto" w:cstheme="minorHAnsi"/>
          <w:sz w:val="22"/>
          <w:szCs w:val="22"/>
          <w:lang w:val="es-ES_tradnl"/>
        </w:rPr>
        <w:t>Innovación</w:t>
      </w:r>
      <w:r w:rsidRPr="000B7E10">
        <w:rPr>
          <w:rFonts w:ascii="Roboto" w:hAnsi="Roboto" w:cstheme="minorHAnsi"/>
          <w:sz w:val="22"/>
          <w:szCs w:val="22"/>
          <w:lang w:val="es-ES_tradnl"/>
        </w:rPr>
        <w:t xml:space="preserve"> </w:t>
      </w:r>
      <w:proofErr w:type="spellStart"/>
      <w:r w:rsidRPr="000B7E10">
        <w:rPr>
          <w:rFonts w:ascii="Roboto" w:hAnsi="Roboto" w:cstheme="minorHAnsi"/>
          <w:sz w:val="22"/>
          <w:szCs w:val="22"/>
          <w:lang w:val="es-ES_tradnl"/>
        </w:rPr>
        <w:t>Eurorregional</w:t>
      </w:r>
      <w:proofErr w:type="spellEnd"/>
      <w:r w:rsidRPr="000B7E10">
        <w:rPr>
          <w:rFonts w:ascii="Roboto" w:hAnsi="Roboto" w:cstheme="minorHAnsi"/>
          <w:sz w:val="22"/>
          <w:szCs w:val="22"/>
          <w:lang w:val="es-ES_tradnl"/>
        </w:rPr>
        <w:t xml:space="preserve">, apoya proyectos y actores en los </w:t>
      </w:r>
      <w:r w:rsidR="00767007" w:rsidRPr="000B7E10">
        <w:rPr>
          <w:rFonts w:ascii="Roboto" w:hAnsi="Roboto" w:cstheme="minorHAnsi"/>
          <w:sz w:val="22"/>
          <w:szCs w:val="22"/>
          <w:lang w:val="es-ES_tradnl"/>
        </w:rPr>
        <w:t xml:space="preserve">sectores estratégicos y emergentes de especialización inteligente comunes a los tres </w:t>
      </w:r>
      <w:r w:rsidR="003E6C16" w:rsidRPr="000B7E10">
        <w:rPr>
          <w:rFonts w:ascii="Roboto" w:hAnsi="Roboto" w:cstheme="minorHAnsi"/>
          <w:sz w:val="22"/>
          <w:szCs w:val="22"/>
          <w:lang w:val="es-ES_tradnl"/>
        </w:rPr>
        <w:t>territorios</w:t>
      </w:r>
      <w:r w:rsidRPr="000B7E10">
        <w:rPr>
          <w:rFonts w:ascii="Roboto" w:hAnsi="Roboto" w:cstheme="minorHAnsi"/>
          <w:sz w:val="22"/>
          <w:szCs w:val="22"/>
          <w:lang w:val="es-ES_tradnl"/>
        </w:rPr>
        <w:t xml:space="preserve">. </w:t>
      </w:r>
      <w:r w:rsidR="00D03765" w:rsidRPr="000B7E10">
        <w:rPr>
          <w:rFonts w:ascii="Roboto" w:hAnsi="Roboto" w:cstheme="minorHAnsi"/>
          <w:sz w:val="22"/>
          <w:szCs w:val="22"/>
          <w:lang w:val="es-ES_tradnl"/>
        </w:rPr>
        <w:t>Se busca con</w:t>
      </w:r>
      <w:r w:rsidR="00F72B40" w:rsidRPr="000B7E10">
        <w:rPr>
          <w:rFonts w:ascii="Roboto" w:hAnsi="Roboto" w:cstheme="minorHAnsi"/>
          <w:sz w:val="22"/>
          <w:szCs w:val="22"/>
          <w:lang w:val="es-ES_tradnl"/>
        </w:rPr>
        <w:t xml:space="preserve">tribuir al desarrollo de una </w:t>
      </w:r>
      <w:r w:rsidR="00F72B40" w:rsidRPr="000B7E10">
        <w:rPr>
          <w:rFonts w:ascii="Roboto" w:hAnsi="Roboto" w:cstheme="minorHAnsi"/>
          <w:b/>
          <w:bCs/>
          <w:sz w:val="22"/>
          <w:szCs w:val="22"/>
          <w:lang w:val="es-ES_tradnl"/>
        </w:rPr>
        <w:t xml:space="preserve">economía </w:t>
      </w:r>
      <w:proofErr w:type="spellStart"/>
      <w:r w:rsidR="00F72B40" w:rsidRPr="000B7E10">
        <w:rPr>
          <w:rFonts w:ascii="Roboto" w:hAnsi="Roboto" w:cstheme="minorHAnsi"/>
          <w:b/>
          <w:bCs/>
          <w:sz w:val="22"/>
          <w:szCs w:val="22"/>
          <w:lang w:val="es-ES_tradnl"/>
        </w:rPr>
        <w:t>eurorregional</w:t>
      </w:r>
      <w:proofErr w:type="spellEnd"/>
      <w:r w:rsidR="00F72B40" w:rsidRPr="000B7E10">
        <w:rPr>
          <w:rFonts w:ascii="Roboto" w:hAnsi="Roboto" w:cstheme="minorHAnsi"/>
          <w:b/>
          <w:bCs/>
          <w:sz w:val="22"/>
          <w:szCs w:val="22"/>
          <w:lang w:val="es-ES_tradnl"/>
        </w:rPr>
        <w:t xml:space="preserve"> competitiva y digitalizada</w:t>
      </w:r>
      <w:r w:rsidR="00F72B40" w:rsidRPr="000B7E10">
        <w:rPr>
          <w:rFonts w:ascii="Roboto" w:hAnsi="Roboto" w:cstheme="minorHAnsi"/>
          <w:sz w:val="22"/>
          <w:szCs w:val="22"/>
          <w:lang w:val="es-ES_tradnl"/>
        </w:rPr>
        <w:t xml:space="preserve"> </w:t>
      </w:r>
      <w:r w:rsidR="009C1468" w:rsidRPr="000B7E10">
        <w:rPr>
          <w:rFonts w:ascii="Roboto" w:hAnsi="Roboto" w:cstheme="minorHAnsi"/>
          <w:sz w:val="22"/>
          <w:szCs w:val="22"/>
          <w:lang w:val="es-ES_tradnl"/>
        </w:rPr>
        <w:t>a través de la puesta en marcha de proyectos tractores colaborativos, basada en el aprovechamiento</w:t>
      </w:r>
      <w:r w:rsidR="00277BF7" w:rsidRPr="000B7E10">
        <w:rPr>
          <w:rFonts w:ascii="Roboto" w:hAnsi="Roboto" w:cstheme="minorHAnsi"/>
          <w:sz w:val="22"/>
          <w:szCs w:val="22"/>
          <w:lang w:val="es-ES_tradnl"/>
        </w:rPr>
        <w:t xml:space="preserve"> de las complementariedades y sinergias de los tres territorios.</w:t>
      </w:r>
    </w:p>
    <w:p w14:paraId="237C3560" w14:textId="77777777" w:rsidR="00FF598C" w:rsidRPr="000B7E10" w:rsidRDefault="00FF598C" w:rsidP="00FF598C">
      <w:pPr>
        <w:pStyle w:val="NormalWeb"/>
        <w:shd w:val="clear" w:color="auto" w:fill="FFFFFF"/>
        <w:spacing w:before="0" w:beforeAutospacing="0" w:after="0" w:afterAutospacing="0"/>
        <w:jc w:val="both"/>
        <w:rPr>
          <w:rFonts w:ascii="Roboto" w:hAnsi="Roboto" w:cstheme="minorHAnsi"/>
          <w:sz w:val="22"/>
          <w:szCs w:val="22"/>
          <w:lang w:val="es-ES_tradnl"/>
        </w:rPr>
      </w:pPr>
    </w:p>
    <w:p w14:paraId="6F1869DB" w14:textId="7421432F" w:rsidR="00FF598C" w:rsidRPr="006F213F" w:rsidRDefault="00FF598C" w:rsidP="00FF598C">
      <w:pPr>
        <w:pStyle w:val="Default"/>
        <w:jc w:val="both"/>
        <w:rPr>
          <w:rFonts w:ascii="Roboto" w:hAnsi="Roboto" w:cstheme="minorHAnsi"/>
          <w:color w:val="auto"/>
          <w:sz w:val="22"/>
          <w:szCs w:val="22"/>
          <w:lang w:val="es-ES_tradnl"/>
        </w:rPr>
      </w:pPr>
      <w:r w:rsidRPr="000B7E10">
        <w:rPr>
          <w:rFonts w:ascii="Roboto" w:hAnsi="Roboto" w:cstheme="minorHAnsi"/>
          <w:color w:val="auto"/>
          <w:sz w:val="22"/>
          <w:szCs w:val="22"/>
          <w:lang w:val="es-ES_tradnl"/>
        </w:rPr>
        <w:t xml:space="preserve">Este procedimiento de apoyo a los actores de la cooperación entre los tres territorios cuenta con un presupuesto de </w:t>
      </w:r>
      <w:r w:rsidR="007D0F2F" w:rsidRPr="000B7E10">
        <w:rPr>
          <w:rFonts w:ascii="Roboto" w:hAnsi="Roboto" w:cstheme="minorHAnsi"/>
          <w:b/>
          <w:bCs/>
          <w:color w:val="auto"/>
          <w:sz w:val="22"/>
          <w:szCs w:val="22"/>
          <w:lang w:val="es-ES_tradnl"/>
        </w:rPr>
        <w:t>4</w:t>
      </w:r>
      <w:r w:rsidRPr="000B7E10">
        <w:rPr>
          <w:rFonts w:ascii="Roboto" w:hAnsi="Roboto" w:cstheme="minorHAnsi"/>
          <w:b/>
          <w:bCs/>
          <w:color w:val="auto"/>
          <w:sz w:val="22"/>
          <w:szCs w:val="22"/>
          <w:lang w:val="es-ES_tradnl"/>
        </w:rPr>
        <w:t xml:space="preserve">00.000 euros. </w:t>
      </w:r>
      <w:r w:rsidRPr="000B7E10">
        <w:rPr>
          <w:rFonts w:ascii="Roboto" w:hAnsi="Roboto" w:cstheme="minorHAnsi"/>
          <w:color w:val="auto"/>
          <w:sz w:val="22"/>
          <w:szCs w:val="22"/>
          <w:lang w:val="es-ES_tradnl"/>
        </w:rPr>
        <w:t>La</w:t>
      </w:r>
      <w:r w:rsidRPr="000B7E10">
        <w:rPr>
          <w:rFonts w:ascii="Roboto" w:hAnsi="Roboto" w:cstheme="minorHAnsi"/>
          <w:b/>
          <w:bCs/>
          <w:color w:val="auto"/>
          <w:sz w:val="22"/>
          <w:szCs w:val="22"/>
          <w:lang w:val="es-ES_tradnl"/>
        </w:rPr>
        <w:t xml:space="preserve"> </w:t>
      </w:r>
      <w:r w:rsidRPr="000B7E10">
        <w:rPr>
          <w:rFonts w:ascii="Roboto" w:hAnsi="Roboto" w:cstheme="minorHAnsi"/>
          <w:color w:val="auto"/>
          <w:sz w:val="22"/>
          <w:szCs w:val="22"/>
          <w:lang w:val="es-ES_tradnl"/>
        </w:rPr>
        <w:t>dotación global de esta convocatoria de proyectos está incluida en el presupuesto de la AECT para el año 2022.</w:t>
      </w:r>
      <w:r w:rsidRPr="006F213F">
        <w:rPr>
          <w:rFonts w:ascii="Roboto" w:hAnsi="Roboto" w:cstheme="minorHAnsi"/>
          <w:color w:val="auto"/>
          <w:sz w:val="22"/>
          <w:szCs w:val="22"/>
          <w:lang w:val="es-ES_tradnl"/>
        </w:rPr>
        <w:t xml:space="preserve"> </w:t>
      </w:r>
    </w:p>
    <w:p w14:paraId="16A1E96D" w14:textId="77777777" w:rsidR="00FF598C" w:rsidRPr="006F213F" w:rsidRDefault="00FF598C" w:rsidP="00FF598C">
      <w:pPr>
        <w:pStyle w:val="Default"/>
        <w:jc w:val="both"/>
        <w:rPr>
          <w:rFonts w:ascii="Roboto" w:hAnsi="Roboto" w:cstheme="minorHAnsi"/>
          <w:color w:val="auto"/>
          <w:sz w:val="22"/>
          <w:szCs w:val="22"/>
          <w:lang w:val="es-ES_tradnl"/>
        </w:rPr>
      </w:pPr>
    </w:p>
    <w:p w14:paraId="5C84BF9B" w14:textId="77777777" w:rsidR="00FF598C" w:rsidRPr="006F213F" w:rsidRDefault="00FF598C" w:rsidP="00FF598C">
      <w:pPr>
        <w:pStyle w:val="Default"/>
        <w:jc w:val="both"/>
        <w:rPr>
          <w:rFonts w:ascii="Roboto" w:hAnsi="Roboto" w:cstheme="minorHAnsi"/>
          <w:color w:val="auto"/>
          <w:sz w:val="22"/>
          <w:szCs w:val="22"/>
          <w:lang w:val="es-ES_tradnl"/>
        </w:rPr>
      </w:pPr>
      <w:r w:rsidRPr="006F213F">
        <w:rPr>
          <w:rFonts w:ascii="Roboto" w:hAnsi="Roboto" w:cstheme="minorHAnsi"/>
          <w:color w:val="auto"/>
          <w:sz w:val="22"/>
          <w:szCs w:val="22"/>
          <w:lang w:val="es-ES_tradnl"/>
        </w:rPr>
        <w:t xml:space="preserve">La convocatoria de proyectos pretende apoyar iniciativas con un carácter verdaderamente trilateral desde su inicio, con </w:t>
      </w:r>
      <w:r w:rsidRPr="006F213F">
        <w:rPr>
          <w:rFonts w:ascii="Roboto" w:hAnsi="Roboto" w:cstheme="minorHAnsi"/>
          <w:b/>
          <w:bCs/>
          <w:color w:val="auto"/>
          <w:sz w:val="22"/>
          <w:szCs w:val="22"/>
          <w:lang w:val="es-ES_tradnl"/>
        </w:rPr>
        <w:t xml:space="preserve">al menos un socio de cada uno de los territorios miembros de la AECT. </w:t>
      </w:r>
    </w:p>
    <w:p w14:paraId="139F059C" w14:textId="77777777" w:rsidR="00FB34B2" w:rsidRPr="00CF5549" w:rsidRDefault="00FB34B2">
      <w:pPr>
        <w:jc w:val="left"/>
        <w:rPr>
          <w:rFonts w:cstheme="minorHAnsi"/>
          <w:b/>
          <w:bCs/>
          <w:color w:val="000000"/>
        </w:rPr>
      </w:pPr>
      <w:r w:rsidRPr="00CF5549">
        <w:rPr>
          <w:rFonts w:cstheme="minorHAnsi"/>
          <w:b/>
          <w:bCs/>
        </w:rPr>
        <w:br w:type="page"/>
      </w:r>
    </w:p>
    <w:p w14:paraId="1D42A170" w14:textId="21B66B61" w:rsidR="009002E2" w:rsidRPr="009002E2" w:rsidRDefault="009002E2" w:rsidP="009002E2">
      <w:pPr>
        <w:pStyle w:val="Titre1"/>
        <w:rPr>
          <w:lang w:val="es-ES_tradnl"/>
        </w:rPr>
      </w:pPr>
      <w:bookmarkStart w:id="2" w:name="_Toc94541050"/>
      <w:bookmarkStart w:id="3" w:name="_Toc98435842"/>
      <w:r w:rsidRPr="009002E2">
        <w:rPr>
          <w:lang w:val="es-ES_tradnl"/>
        </w:rPr>
        <w:lastRenderedPageBreak/>
        <w:t>Territorios elegibles</w:t>
      </w:r>
      <w:bookmarkEnd w:id="2"/>
      <w:bookmarkEnd w:id="3"/>
    </w:p>
    <w:p w14:paraId="2A46CBF5" w14:textId="73F75D85" w:rsidR="00AA13BB" w:rsidRPr="00CF5549" w:rsidRDefault="009002E2" w:rsidP="009002E2">
      <w:r>
        <w:rPr>
          <w:lang w:val="es-ES_tradnl"/>
        </w:rPr>
        <w:t>Los</w:t>
      </w:r>
      <w:r w:rsidRPr="006F213F">
        <w:rPr>
          <w:lang w:val="es-ES_tradnl"/>
        </w:rPr>
        <w:t xml:space="preserve"> socios de los tres territorios de la Eurorregión (Nueva-Aquitania, Euskadi y Navarra)</w:t>
      </w:r>
      <w:r>
        <w:rPr>
          <w:lang w:val="es-ES_tradnl"/>
        </w:rPr>
        <w:t xml:space="preserve"> son el</w:t>
      </w:r>
      <w:r w:rsidR="00364E5D">
        <w:rPr>
          <w:lang w:val="es-ES_tradnl"/>
        </w:rPr>
        <w:t>egibles.</w:t>
      </w:r>
      <w:r w:rsidR="00FB34B2" w:rsidRPr="009B67B8">
        <w:rPr>
          <w:noProof/>
          <w:lang w:eastAsia="es-ES"/>
        </w:rPr>
        <w:drawing>
          <wp:inline distT="0" distB="0" distL="0" distR="0" wp14:anchorId="2A8E286A" wp14:editId="122A91A8">
            <wp:extent cx="5809129" cy="5300702"/>
            <wp:effectExtent l="0" t="0" r="1270" b="0"/>
            <wp:docPr id="3" name="Image 3" descr="Une image contenant car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carte&#10;&#10;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828866" cy="5318711"/>
                    </a:xfrm>
                    <a:prstGeom prst="rect">
                      <a:avLst/>
                    </a:prstGeom>
                  </pic:spPr>
                </pic:pic>
              </a:graphicData>
            </a:graphic>
          </wp:inline>
        </w:drawing>
      </w:r>
      <w:r w:rsidR="00AA13BB" w:rsidRPr="00CF5549">
        <w:t xml:space="preserve"> </w:t>
      </w:r>
    </w:p>
    <w:p w14:paraId="6C14E6A8" w14:textId="77777777" w:rsidR="009B67B8" w:rsidRPr="00CF5549" w:rsidRDefault="009B67B8" w:rsidP="00FC1F55">
      <w:pPr>
        <w:rPr>
          <w:rStyle w:val="markedcontent"/>
          <w:rFonts w:cstheme="minorHAnsi"/>
        </w:rPr>
      </w:pPr>
    </w:p>
    <w:p w14:paraId="6F7D63D8" w14:textId="77777777" w:rsidR="007273F9" w:rsidRPr="006F213F" w:rsidRDefault="007273F9" w:rsidP="007273F9">
      <w:pPr>
        <w:rPr>
          <w:rStyle w:val="markedcontent"/>
          <w:rFonts w:cstheme="minorHAnsi"/>
          <w:lang w:val="es-ES_tradnl"/>
        </w:rPr>
      </w:pPr>
      <w:r w:rsidRPr="006F213F">
        <w:rPr>
          <w:rStyle w:val="markedcontent"/>
          <w:rFonts w:cstheme="minorHAnsi"/>
          <w:lang w:val="es-ES_tradnl"/>
        </w:rPr>
        <w:t>Con relación a territorios ubicados fuera del perímetro elegible podrán formar parte del partenariado teniendo la consideración de miembros asociados, pero no podrán beneficiarse de las subvenciones.</w:t>
      </w:r>
    </w:p>
    <w:p w14:paraId="6E4FDA7E" w14:textId="77777777" w:rsidR="009B67B8" w:rsidRPr="00CF5549" w:rsidRDefault="009B67B8">
      <w:pPr>
        <w:jc w:val="left"/>
        <w:rPr>
          <w:rStyle w:val="markedcontent"/>
          <w:rFonts w:cstheme="minorHAnsi"/>
        </w:rPr>
      </w:pPr>
      <w:r w:rsidRPr="00CF5549">
        <w:rPr>
          <w:rStyle w:val="markedcontent"/>
          <w:rFonts w:cstheme="minorHAnsi"/>
        </w:rPr>
        <w:br w:type="page"/>
      </w:r>
    </w:p>
    <w:p w14:paraId="6D7AFB2C" w14:textId="3A3D3B05" w:rsidR="00C06241" w:rsidRPr="006F213F" w:rsidRDefault="00C06241" w:rsidP="00690A91">
      <w:pPr>
        <w:pStyle w:val="Titre1"/>
        <w:rPr>
          <w:lang w:val="es-ES_tradnl"/>
        </w:rPr>
      </w:pPr>
      <w:bookmarkStart w:id="4" w:name="_Toc94541051"/>
      <w:bookmarkStart w:id="5" w:name="_Toc98435843"/>
      <w:r w:rsidRPr="006F213F">
        <w:rPr>
          <w:lang w:val="es-ES_tradnl"/>
        </w:rPr>
        <w:lastRenderedPageBreak/>
        <w:t>Temáticas</w:t>
      </w:r>
      <w:bookmarkEnd w:id="4"/>
      <w:bookmarkEnd w:id="5"/>
    </w:p>
    <w:p w14:paraId="5AD74D43" w14:textId="71ECD1F0" w:rsidR="0004266E" w:rsidRPr="001D54DA" w:rsidRDefault="0004266E" w:rsidP="004F4B9A">
      <w:pPr>
        <w:rPr>
          <w:rStyle w:val="Lienhypertexte"/>
          <w:color w:val="auto"/>
          <w:u w:val="none"/>
          <w:lang w:val="es-ES_tradnl"/>
        </w:rPr>
      </w:pPr>
      <w:r w:rsidRPr="006F213F">
        <w:rPr>
          <w:lang w:val="es-ES_tradnl"/>
        </w:rPr>
        <w:t>La</w:t>
      </w:r>
      <w:r>
        <w:rPr>
          <w:lang w:val="es-ES_tradnl"/>
        </w:rPr>
        <w:t xml:space="preserve"> presente </w:t>
      </w:r>
      <w:r w:rsidRPr="006F213F">
        <w:rPr>
          <w:lang w:val="es-ES_tradnl"/>
        </w:rPr>
        <w:t>convocatoria corresponde</w:t>
      </w:r>
      <w:r w:rsidR="00C06241" w:rsidRPr="006F213F">
        <w:rPr>
          <w:lang w:val="es-ES_tradnl"/>
        </w:rPr>
        <w:t xml:space="preserve"> al </w:t>
      </w:r>
      <w:r w:rsidR="00993B00" w:rsidRPr="001D54DA">
        <w:rPr>
          <w:lang w:val="es-ES_tradnl"/>
        </w:rPr>
        <w:t>segundo</w:t>
      </w:r>
      <w:r w:rsidR="00C06241" w:rsidRPr="001D54DA">
        <w:rPr>
          <w:lang w:val="es-ES_tradnl"/>
        </w:rPr>
        <w:t xml:space="preserve"> eje de trabajo del Plan Estratégico de la Eurorregión 2021-2027, "</w:t>
      </w:r>
      <w:r w:rsidR="00CC1B41" w:rsidRPr="001D54DA">
        <w:rPr>
          <w:b/>
          <w:bCs/>
          <w:lang w:val="es-ES_tradnl"/>
        </w:rPr>
        <w:t>Desarrollo inteligente, competitivo, inclusivo y sostenible</w:t>
      </w:r>
      <w:r w:rsidR="00C06241" w:rsidRPr="001D54DA">
        <w:rPr>
          <w:lang w:val="es-ES_tradnl"/>
        </w:rPr>
        <w:t>"</w:t>
      </w:r>
      <w:r w:rsidR="005E0773" w:rsidRPr="001D54DA">
        <w:rPr>
          <w:lang w:val="es-ES_tradnl"/>
        </w:rPr>
        <w:t xml:space="preserve"> (</w:t>
      </w:r>
      <w:hyperlink r:id="rId12" w:history="1">
        <w:r w:rsidR="00690A91" w:rsidRPr="001D54DA">
          <w:rPr>
            <w:rStyle w:val="Lienhypertexte"/>
          </w:rPr>
          <w:t>https://www.euroregion-naen.eu/wp-content/uploads/2021/10/PS_ESP_site_es.pdf</w:t>
        </w:r>
      </w:hyperlink>
      <w:r w:rsidR="005E0773" w:rsidRPr="001D54DA">
        <w:rPr>
          <w:rStyle w:val="Lienhypertexte"/>
          <w:color w:val="auto"/>
          <w:lang w:val="es-ES_tradnl"/>
        </w:rPr>
        <w:t>)</w:t>
      </w:r>
      <w:r w:rsidR="00531F96" w:rsidRPr="001D54DA">
        <w:rPr>
          <w:rStyle w:val="Lienhypertexte"/>
          <w:color w:val="auto"/>
          <w:u w:val="none"/>
          <w:lang w:val="es-ES_tradnl"/>
        </w:rPr>
        <w:t>.</w:t>
      </w:r>
      <w:r w:rsidR="00DB4749" w:rsidRPr="001D54DA">
        <w:rPr>
          <w:rStyle w:val="Lienhypertexte"/>
          <w:color w:val="auto"/>
          <w:u w:val="none"/>
          <w:lang w:val="es-ES_tradnl"/>
        </w:rPr>
        <w:t xml:space="preserve"> La estrategia </w:t>
      </w:r>
      <w:proofErr w:type="spellStart"/>
      <w:r w:rsidR="00DB4749" w:rsidRPr="001D54DA">
        <w:rPr>
          <w:rStyle w:val="Lienhypertexte"/>
          <w:color w:val="auto"/>
          <w:u w:val="none"/>
          <w:lang w:val="es-ES_tradnl"/>
        </w:rPr>
        <w:t>Eurorregional</w:t>
      </w:r>
      <w:proofErr w:type="spellEnd"/>
      <w:r w:rsidR="00122CDC" w:rsidRPr="001D54DA">
        <w:rPr>
          <w:rStyle w:val="Lienhypertexte"/>
          <w:color w:val="auto"/>
          <w:u w:val="none"/>
          <w:lang w:val="es-ES_tradnl"/>
        </w:rPr>
        <w:t xml:space="preserve"> ha permitido identificar 6 sectores estratégicos </w:t>
      </w:r>
      <w:r w:rsidR="00DB4749" w:rsidRPr="001D54DA">
        <w:rPr>
          <w:rStyle w:val="Lienhypertexte"/>
          <w:color w:val="auto"/>
          <w:u w:val="none"/>
          <w:lang w:val="es-ES_tradnl"/>
        </w:rPr>
        <w:t xml:space="preserve">convergentes </w:t>
      </w:r>
      <w:r w:rsidR="0096479E">
        <w:rPr>
          <w:rStyle w:val="Lienhypertexte"/>
          <w:color w:val="auto"/>
          <w:u w:val="none"/>
          <w:lang w:val="es-ES_tradnl"/>
        </w:rPr>
        <w:t>en</w:t>
      </w:r>
      <w:r w:rsidR="00DB4749" w:rsidRPr="001D54DA">
        <w:rPr>
          <w:rStyle w:val="Lienhypertexte"/>
          <w:color w:val="auto"/>
          <w:u w:val="none"/>
          <w:lang w:val="es-ES_tradnl"/>
        </w:rPr>
        <w:t xml:space="preserve"> las estrategias de especialización inteligentes (RIS4) de los tres territorios</w:t>
      </w:r>
      <w:r w:rsidR="00251C75" w:rsidRPr="001D54DA">
        <w:rPr>
          <w:rStyle w:val="Lienhypertexte"/>
          <w:color w:val="auto"/>
          <w:u w:val="none"/>
          <w:lang w:val="es-ES_tradnl"/>
        </w:rPr>
        <w:t xml:space="preserve">: </w:t>
      </w:r>
    </w:p>
    <w:p w14:paraId="150F3DA2" w14:textId="77777777" w:rsidR="0004266E" w:rsidRPr="001D54DA" w:rsidRDefault="0004266E" w:rsidP="004F4B9A">
      <w:pPr>
        <w:rPr>
          <w:lang w:val="es-ES_tradnl"/>
        </w:rPr>
      </w:pPr>
    </w:p>
    <w:p w14:paraId="7951F962" w14:textId="56C562C5" w:rsidR="00C06241" w:rsidRPr="001D54DA" w:rsidRDefault="0028183C" w:rsidP="00C06241">
      <w:pPr>
        <w:pStyle w:val="Paragraphedeliste"/>
        <w:numPr>
          <w:ilvl w:val="0"/>
          <w:numId w:val="3"/>
        </w:numPr>
        <w:jc w:val="both"/>
        <w:rPr>
          <w:rFonts w:ascii="Roboto" w:hAnsi="Roboto"/>
          <w:lang w:val="es-ES_tradnl"/>
        </w:rPr>
      </w:pPr>
      <w:r w:rsidRPr="001D54DA">
        <w:rPr>
          <w:rFonts w:ascii="Roboto" w:hAnsi="Roboto"/>
          <w:lang w:val="es-ES_tradnl"/>
        </w:rPr>
        <w:t xml:space="preserve">Biociencias, Salud, </w:t>
      </w:r>
      <w:r w:rsidR="00FA2FF6" w:rsidRPr="001D54DA">
        <w:rPr>
          <w:rFonts w:ascii="Roboto" w:hAnsi="Roboto"/>
          <w:lang w:val="es-ES_tradnl"/>
        </w:rPr>
        <w:t xml:space="preserve">Silver </w:t>
      </w:r>
      <w:proofErr w:type="spellStart"/>
      <w:r w:rsidR="008D639C" w:rsidRPr="001D54DA">
        <w:rPr>
          <w:rFonts w:ascii="Roboto" w:hAnsi="Roboto"/>
          <w:lang w:val="es-ES_tradnl"/>
        </w:rPr>
        <w:t>Economy</w:t>
      </w:r>
      <w:proofErr w:type="spellEnd"/>
    </w:p>
    <w:p w14:paraId="58D917EA" w14:textId="558FE468" w:rsidR="00C06241" w:rsidRPr="001D54DA" w:rsidRDefault="00A70866" w:rsidP="00C06241">
      <w:pPr>
        <w:pStyle w:val="Paragraphedeliste"/>
        <w:numPr>
          <w:ilvl w:val="0"/>
          <w:numId w:val="3"/>
        </w:numPr>
        <w:jc w:val="both"/>
        <w:rPr>
          <w:rFonts w:ascii="Roboto" w:hAnsi="Roboto"/>
          <w:lang w:val="es-ES_tradnl"/>
        </w:rPr>
      </w:pPr>
      <w:r w:rsidRPr="001D54DA">
        <w:rPr>
          <w:rFonts w:ascii="Roboto" w:hAnsi="Roboto"/>
          <w:lang w:val="es-ES_tradnl"/>
        </w:rPr>
        <w:t>Fabricación avanzada, aeronáutica</w:t>
      </w:r>
      <w:r w:rsidR="00E45EA1" w:rsidRPr="001D54DA">
        <w:rPr>
          <w:rFonts w:ascii="Roboto" w:hAnsi="Roboto"/>
          <w:lang w:val="es-ES_tradnl"/>
        </w:rPr>
        <w:t xml:space="preserve">, </w:t>
      </w:r>
      <w:r w:rsidR="008563FB" w:rsidRPr="001D54DA">
        <w:rPr>
          <w:rFonts w:ascii="Roboto" w:hAnsi="Roboto"/>
          <w:lang w:val="es-ES_tradnl"/>
        </w:rPr>
        <w:t xml:space="preserve">movilidad </w:t>
      </w:r>
      <w:r w:rsidR="00977EB7" w:rsidRPr="001D54DA">
        <w:rPr>
          <w:rFonts w:ascii="Roboto" w:hAnsi="Roboto"/>
          <w:lang w:val="es-ES_tradnl"/>
        </w:rPr>
        <w:t>eléctrica</w:t>
      </w:r>
    </w:p>
    <w:p w14:paraId="1B775AD4" w14:textId="39B216AE" w:rsidR="00C06241" w:rsidRPr="001D54DA" w:rsidRDefault="00251C75" w:rsidP="00C06241">
      <w:pPr>
        <w:pStyle w:val="Paragraphedeliste"/>
        <w:numPr>
          <w:ilvl w:val="0"/>
          <w:numId w:val="3"/>
        </w:numPr>
        <w:jc w:val="both"/>
        <w:rPr>
          <w:rFonts w:ascii="Roboto" w:hAnsi="Roboto"/>
          <w:lang w:val="es-ES_tradnl"/>
        </w:rPr>
      </w:pPr>
      <w:r w:rsidRPr="001D54DA">
        <w:rPr>
          <w:rFonts w:ascii="Roboto" w:hAnsi="Roboto"/>
          <w:lang w:val="es-ES_tradnl"/>
        </w:rPr>
        <w:t>Industria agroalimentaria</w:t>
      </w:r>
      <w:r w:rsidR="00616FFD" w:rsidRPr="001D54DA">
        <w:rPr>
          <w:rFonts w:ascii="Roboto" w:hAnsi="Roboto"/>
          <w:lang w:val="es-ES_tradnl"/>
        </w:rPr>
        <w:t>, Alimentación saludable y sostenible</w:t>
      </w:r>
    </w:p>
    <w:p w14:paraId="4CE4434B" w14:textId="7F2AE75E" w:rsidR="00C06241" w:rsidRPr="001D54DA" w:rsidRDefault="00251C75" w:rsidP="00C06241">
      <w:pPr>
        <w:pStyle w:val="Paragraphedeliste"/>
        <w:numPr>
          <w:ilvl w:val="0"/>
          <w:numId w:val="3"/>
        </w:numPr>
        <w:jc w:val="both"/>
        <w:rPr>
          <w:rFonts w:ascii="Roboto" w:hAnsi="Roboto"/>
          <w:lang w:val="es-ES_tradnl"/>
        </w:rPr>
      </w:pPr>
      <w:r w:rsidRPr="001D54DA">
        <w:rPr>
          <w:rFonts w:ascii="Roboto" w:hAnsi="Roboto"/>
          <w:lang w:val="es-ES_tradnl"/>
        </w:rPr>
        <w:t>Energías Renovables</w:t>
      </w:r>
    </w:p>
    <w:p w14:paraId="6BF66AA3" w14:textId="253EE0B8" w:rsidR="00C06241" w:rsidRPr="001D54DA" w:rsidRDefault="0096479E" w:rsidP="00C06241">
      <w:pPr>
        <w:pStyle w:val="Paragraphedeliste"/>
        <w:numPr>
          <w:ilvl w:val="0"/>
          <w:numId w:val="3"/>
        </w:numPr>
        <w:jc w:val="both"/>
        <w:rPr>
          <w:rFonts w:ascii="Roboto" w:hAnsi="Roboto"/>
          <w:lang w:val="es-ES_tradnl"/>
        </w:rPr>
      </w:pPr>
      <w:r w:rsidRPr="001D54DA">
        <w:rPr>
          <w:rFonts w:ascii="Roboto" w:hAnsi="Roboto"/>
          <w:lang w:val="es-ES_tradnl"/>
        </w:rPr>
        <w:t>Hábitat</w:t>
      </w:r>
      <w:r w:rsidR="00450396" w:rsidRPr="001D54DA">
        <w:rPr>
          <w:rFonts w:ascii="Roboto" w:hAnsi="Roboto"/>
          <w:lang w:val="es-ES_tradnl"/>
        </w:rPr>
        <w:t xml:space="preserve"> sostenible</w:t>
      </w:r>
      <w:r w:rsidR="00661422" w:rsidRPr="001D54DA">
        <w:rPr>
          <w:rFonts w:ascii="Roboto" w:hAnsi="Roboto"/>
          <w:lang w:val="es-ES_tradnl"/>
        </w:rPr>
        <w:t>, Bosque</w:t>
      </w:r>
      <w:r w:rsidR="008D26F7" w:rsidRPr="001D54DA">
        <w:rPr>
          <w:rFonts w:ascii="Roboto" w:hAnsi="Roboto"/>
          <w:lang w:val="es-ES_tradnl"/>
        </w:rPr>
        <w:t>, Madera</w:t>
      </w:r>
    </w:p>
    <w:p w14:paraId="6765D99C" w14:textId="08E21CF3" w:rsidR="00C06241" w:rsidRPr="001D54DA" w:rsidRDefault="00450396" w:rsidP="00C06241">
      <w:pPr>
        <w:pStyle w:val="Paragraphedeliste"/>
        <w:numPr>
          <w:ilvl w:val="0"/>
          <w:numId w:val="3"/>
        </w:numPr>
        <w:jc w:val="both"/>
        <w:rPr>
          <w:rFonts w:ascii="Roboto" w:hAnsi="Roboto"/>
          <w:lang w:val="es-ES_tradnl"/>
        </w:rPr>
      </w:pPr>
      <w:r w:rsidRPr="001D54DA">
        <w:rPr>
          <w:rFonts w:ascii="Roboto" w:hAnsi="Roboto"/>
          <w:lang w:val="es-ES_tradnl"/>
        </w:rPr>
        <w:t>Industrias Creativas y Culturales</w:t>
      </w:r>
      <w:r w:rsidR="00B24659" w:rsidRPr="001D54DA">
        <w:rPr>
          <w:rFonts w:ascii="Roboto" w:hAnsi="Roboto"/>
          <w:lang w:val="es-ES_tradnl"/>
        </w:rPr>
        <w:t>, Industria Audiovisual</w:t>
      </w:r>
    </w:p>
    <w:p w14:paraId="495A332D" w14:textId="2766C5E5" w:rsidR="00C06241" w:rsidRPr="001D54DA" w:rsidRDefault="00415439" w:rsidP="00C06241">
      <w:pPr>
        <w:rPr>
          <w:rFonts w:cstheme="minorHAnsi"/>
          <w:lang w:val="es-ES_tradnl"/>
        </w:rPr>
      </w:pPr>
      <w:r w:rsidRPr="001D54DA">
        <w:rPr>
          <w:rFonts w:cstheme="minorHAnsi"/>
          <w:lang w:val="es-ES_tradnl"/>
        </w:rPr>
        <w:t>Apoyar</w:t>
      </w:r>
      <w:r w:rsidR="000C5C45" w:rsidRPr="001D54DA">
        <w:rPr>
          <w:rFonts w:cstheme="minorHAnsi"/>
          <w:lang w:val="es-ES_tradnl"/>
        </w:rPr>
        <w:t xml:space="preserve">, desde una perspectiva local y transfronteriza, el </w:t>
      </w:r>
      <w:r w:rsidR="000C5C45" w:rsidRPr="001D54DA">
        <w:rPr>
          <w:rFonts w:cstheme="minorHAnsi"/>
          <w:b/>
          <w:bCs/>
          <w:lang w:val="es-ES_tradnl"/>
        </w:rPr>
        <w:t>desarrollo competitivo y resiliente</w:t>
      </w:r>
      <w:r w:rsidR="000C5C45" w:rsidRPr="001D54DA">
        <w:rPr>
          <w:rFonts w:cstheme="minorHAnsi"/>
          <w:lang w:val="es-ES_tradnl"/>
        </w:rPr>
        <w:t xml:space="preserve"> de la </w:t>
      </w:r>
      <w:r w:rsidR="00EA53D1" w:rsidRPr="001D54DA">
        <w:rPr>
          <w:rFonts w:cstheme="minorHAnsi"/>
          <w:lang w:val="es-ES_tradnl"/>
        </w:rPr>
        <w:t xml:space="preserve">Eurorregión en el marco de la </w:t>
      </w:r>
      <w:r w:rsidR="00EA53D1" w:rsidRPr="001D54DA">
        <w:rPr>
          <w:rFonts w:cstheme="minorHAnsi"/>
          <w:b/>
          <w:bCs/>
          <w:lang w:val="es-ES_tradnl"/>
        </w:rPr>
        <w:t>revolución digital</w:t>
      </w:r>
      <w:r w:rsidR="009D587D" w:rsidRPr="001D54DA">
        <w:rPr>
          <w:rFonts w:cstheme="minorHAnsi"/>
          <w:lang w:val="es-ES_tradnl"/>
        </w:rPr>
        <w:t xml:space="preserve"> a través de la </w:t>
      </w:r>
      <w:r w:rsidR="009D587D" w:rsidRPr="001D54DA">
        <w:rPr>
          <w:rFonts w:cstheme="minorHAnsi"/>
          <w:b/>
          <w:bCs/>
          <w:lang w:val="es-ES_tradnl"/>
        </w:rPr>
        <w:t>especialización inteligente</w:t>
      </w:r>
      <w:r w:rsidR="009D587D" w:rsidRPr="001D54DA">
        <w:rPr>
          <w:rFonts w:cstheme="minorHAnsi"/>
          <w:lang w:val="es-ES_tradnl"/>
        </w:rPr>
        <w:t xml:space="preserve"> para la </w:t>
      </w:r>
      <w:r w:rsidR="009D587D" w:rsidRPr="001D54DA">
        <w:rPr>
          <w:rFonts w:cstheme="minorHAnsi"/>
          <w:b/>
          <w:bCs/>
          <w:lang w:val="es-ES_tradnl"/>
        </w:rPr>
        <w:t>sostenibilidad</w:t>
      </w:r>
      <w:r w:rsidR="009D587D" w:rsidRPr="001D54DA">
        <w:rPr>
          <w:rFonts w:cstheme="minorHAnsi"/>
          <w:lang w:val="es-ES_tradnl"/>
        </w:rPr>
        <w:t xml:space="preserve">, la </w:t>
      </w:r>
      <w:r w:rsidR="009D587D" w:rsidRPr="001D54DA">
        <w:rPr>
          <w:rFonts w:cstheme="minorHAnsi"/>
          <w:b/>
          <w:bCs/>
          <w:lang w:val="es-ES_tradnl"/>
        </w:rPr>
        <w:t>generación de conocimiento</w:t>
      </w:r>
      <w:r w:rsidR="009D587D" w:rsidRPr="001D54DA">
        <w:rPr>
          <w:rFonts w:cstheme="minorHAnsi"/>
          <w:lang w:val="es-ES_tradnl"/>
        </w:rPr>
        <w:t xml:space="preserve"> e </w:t>
      </w:r>
      <w:r w:rsidR="009D587D" w:rsidRPr="001D54DA">
        <w:rPr>
          <w:rFonts w:cstheme="minorHAnsi"/>
          <w:b/>
          <w:bCs/>
          <w:lang w:val="es-ES_tradnl"/>
        </w:rPr>
        <w:t xml:space="preserve">innovación </w:t>
      </w:r>
      <w:r w:rsidR="009D587D" w:rsidRPr="001D54DA">
        <w:rPr>
          <w:rFonts w:cstheme="minorHAnsi"/>
          <w:lang w:val="es-ES_tradnl"/>
        </w:rPr>
        <w:t xml:space="preserve">y </w:t>
      </w:r>
      <w:r w:rsidR="001D1862" w:rsidRPr="001D54DA">
        <w:rPr>
          <w:rFonts w:cstheme="minorHAnsi"/>
          <w:lang w:val="es-ES_tradnl"/>
        </w:rPr>
        <w:t xml:space="preserve">la apuesta por la </w:t>
      </w:r>
      <w:r w:rsidR="001D1862" w:rsidRPr="001D54DA">
        <w:rPr>
          <w:rFonts w:cstheme="minorHAnsi"/>
          <w:b/>
          <w:bCs/>
          <w:lang w:val="es-ES_tradnl"/>
        </w:rPr>
        <w:t>economía circular</w:t>
      </w:r>
      <w:r w:rsidR="001D1862" w:rsidRPr="001D54DA">
        <w:rPr>
          <w:rFonts w:cstheme="minorHAnsi"/>
          <w:lang w:val="es-ES_tradnl"/>
        </w:rPr>
        <w:t xml:space="preserve"> son </w:t>
      </w:r>
      <w:r w:rsidR="00385FC9" w:rsidRPr="001D54DA">
        <w:rPr>
          <w:rFonts w:cstheme="minorHAnsi"/>
          <w:lang w:val="es-ES_tradnl"/>
        </w:rPr>
        <w:t>las prioridades</w:t>
      </w:r>
      <w:r w:rsidR="00C06241" w:rsidRPr="001D54DA">
        <w:rPr>
          <w:rFonts w:cstheme="minorHAnsi"/>
          <w:lang w:val="es-ES_tradnl"/>
        </w:rPr>
        <w:t xml:space="preserve"> que la AECT Nueva Aquitania Euskadi Navarra desea abordar de forma transversal a través de esta Convocatoria de proyectos.</w:t>
      </w:r>
    </w:p>
    <w:p w14:paraId="246A28B4" w14:textId="6C520F0A" w:rsidR="00C06241" w:rsidRPr="001D54DA" w:rsidRDefault="00C06241" w:rsidP="00C06241">
      <w:pPr>
        <w:autoSpaceDE w:val="0"/>
        <w:autoSpaceDN w:val="0"/>
        <w:adjustRightInd w:val="0"/>
        <w:spacing w:after="0" w:line="240" w:lineRule="auto"/>
        <w:rPr>
          <w:rFonts w:cstheme="minorHAnsi"/>
          <w:lang w:val="es-ES_tradnl"/>
        </w:rPr>
      </w:pPr>
      <w:r w:rsidRPr="001D54DA">
        <w:rPr>
          <w:rFonts w:cstheme="minorHAnsi"/>
          <w:lang w:val="es-ES_tradnl"/>
        </w:rPr>
        <w:t xml:space="preserve">Esta convocatoria de proyectos se basa en una serie de elementos transversales en línea con las prioridades europeas: el desarrollo sostenible y la digitalización. </w:t>
      </w:r>
    </w:p>
    <w:p w14:paraId="17A855B0" w14:textId="77777777" w:rsidR="00C06241" w:rsidRPr="001D54DA" w:rsidRDefault="00C06241" w:rsidP="00C06241">
      <w:pPr>
        <w:pStyle w:val="Default"/>
        <w:jc w:val="both"/>
        <w:rPr>
          <w:rFonts w:ascii="Roboto" w:hAnsi="Roboto" w:cstheme="minorHAnsi"/>
          <w:color w:val="auto"/>
          <w:sz w:val="22"/>
          <w:szCs w:val="22"/>
          <w:lang w:val="es-ES_tradnl"/>
        </w:rPr>
      </w:pPr>
    </w:p>
    <w:p w14:paraId="76C2678C" w14:textId="77777777" w:rsidR="00C06241" w:rsidRPr="001D54DA" w:rsidRDefault="00C06241" w:rsidP="00C06241">
      <w:pPr>
        <w:autoSpaceDE w:val="0"/>
        <w:autoSpaceDN w:val="0"/>
        <w:adjustRightInd w:val="0"/>
        <w:spacing w:after="0" w:line="240" w:lineRule="auto"/>
        <w:rPr>
          <w:rFonts w:cstheme="minorHAnsi"/>
          <w:lang w:val="es-ES_tradnl"/>
        </w:rPr>
      </w:pPr>
    </w:p>
    <w:p w14:paraId="1B0B5594" w14:textId="15B7431A" w:rsidR="00C06241" w:rsidRPr="001D54DA" w:rsidRDefault="00C06241" w:rsidP="00C06241">
      <w:pPr>
        <w:autoSpaceDE w:val="0"/>
        <w:autoSpaceDN w:val="0"/>
        <w:adjustRightInd w:val="0"/>
        <w:spacing w:after="0" w:line="240" w:lineRule="auto"/>
        <w:rPr>
          <w:rFonts w:cstheme="minorHAnsi"/>
          <w:shd w:val="clear" w:color="auto" w:fill="FFFFFF"/>
          <w:lang w:val="es-ES_tradnl"/>
        </w:rPr>
      </w:pPr>
      <w:r w:rsidRPr="001D54DA">
        <w:rPr>
          <w:rFonts w:cstheme="minorHAnsi"/>
          <w:shd w:val="clear" w:color="auto" w:fill="FFFFFF"/>
          <w:lang w:val="es-ES_tradnl"/>
        </w:rPr>
        <w:t xml:space="preserve">Los proyectos que representen una continuación de operaciones programadas en convocatorias anteriores deberán incluir elementos nuevos en al menos </w:t>
      </w:r>
      <w:r w:rsidR="00207F43" w:rsidRPr="001D54DA">
        <w:rPr>
          <w:rFonts w:cstheme="minorHAnsi"/>
          <w:shd w:val="clear" w:color="auto" w:fill="FFFFFF"/>
          <w:lang w:val="es-ES_tradnl"/>
        </w:rPr>
        <w:t>dos</w:t>
      </w:r>
      <w:r w:rsidRPr="001D54DA">
        <w:rPr>
          <w:rFonts w:cstheme="minorHAnsi"/>
          <w:shd w:val="clear" w:color="auto" w:fill="FFFFFF"/>
          <w:lang w:val="es-ES_tradnl"/>
        </w:rPr>
        <w:t xml:space="preserve"> de los siguientes ámbitos:</w:t>
      </w:r>
    </w:p>
    <w:p w14:paraId="1CDEE203" w14:textId="77777777" w:rsidR="00C06241" w:rsidRPr="001D54DA" w:rsidRDefault="00C06241" w:rsidP="00C06241">
      <w:pPr>
        <w:pStyle w:val="Paragraphedeliste"/>
        <w:numPr>
          <w:ilvl w:val="0"/>
          <w:numId w:val="6"/>
        </w:numPr>
        <w:autoSpaceDE w:val="0"/>
        <w:autoSpaceDN w:val="0"/>
        <w:adjustRightInd w:val="0"/>
        <w:spacing w:after="0" w:line="240" w:lineRule="auto"/>
        <w:jc w:val="both"/>
        <w:rPr>
          <w:rFonts w:ascii="Roboto" w:hAnsi="Roboto" w:cstheme="minorHAnsi"/>
          <w:lang w:val="es-ES_tradnl"/>
        </w:rPr>
      </w:pPr>
      <w:r w:rsidRPr="001D54DA">
        <w:rPr>
          <w:rFonts w:ascii="Roboto" w:hAnsi="Roboto" w:cstheme="minorHAnsi"/>
          <w:shd w:val="clear" w:color="auto" w:fill="FFFFFF"/>
          <w:lang w:val="es-ES_tradnl"/>
        </w:rPr>
        <w:t>Partenariado.</w:t>
      </w:r>
    </w:p>
    <w:p w14:paraId="77D146C0" w14:textId="12E61E68" w:rsidR="00FB7F5E" w:rsidRPr="001D54DA" w:rsidRDefault="00C06241" w:rsidP="00FB7F5E">
      <w:pPr>
        <w:pStyle w:val="Paragraphedeliste"/>
        <w:numPr>
          <w:ilvl w:val="0"/>
          <w:numId w:val="6"/>
        </w:numPr>
        <w:autoSpaceDE w:val="0"/>
        <w:autoSpaceDN w:val="0"/>
        <w:adjustRightInd w:val="0"/>
        <w:spacing w:after="0" w:line="240" w:lineRule="auto"/>
        <w:jc w:val="both"/>
        <w:rPr>
          <w:rFonts w:ascii="Roboto" w:hAnsi="Roboto" w:cstheme="minorHAnsi"/>
          <w:lang w:val="es-ES_tradnl"/>
        </w:rPr>
      </w:pPr>
      <w:r w:rsidRPr="001D54DA">
        <w:rPr>
          <w:rFonts w:ascii="Roboto" w:hAnsi="Roboto" w:cstheme="minorHAnsi"/>
          <w:shd w:val="clear" w:color="auto" w:fill="FFFFFF"/>
          <w:lang w:val="es-ES_tradnl"/>
        </w:rPr>
        <w:t>Objetivos y resultados previstos del proyecto.</w:t>
      </w:r>
    </w:p>
    <w:p w14:paraId="5DA35D55" w14:textId="12BA3289" w:rsidR="00C45068" w:rsidRPr="001D54DA" w:rsidRDefault="00C45068" w:rsidP="00FB7F5E">
      <w:pPr>
        <w:pStyle w:val="Paragraphedeliste"/>
        <w:numPr>
          <w:ilvl w:val="0"/>
          <w:numId w:val="6"/>
        </w:numPr>
        <w:autoSpaceDE w:val="0"/>
        <w:autoSpaceDN w:val="0"/>
        <w:adjustRightInd w:val="0"/>
        <w:spacing w:after="0" w:line="240" w:lineRule="auto"/>
        <w:jc w:val="both"/>
        <w:rPr>
          <w:rFonts w:ascii="Roboto" w:hAnsi="Roboto" w:cstheme="minorHAnsi"/>
          <w:lang w:val="es-ES_tradnl"/>
        </w:rPr>
      </w:pPr>
      <w:r w:rsidRPr="001D54DA">
        <w:rPr>
          <w:rFonts w:ascii="Roboto" w:hAnsi="Roboto" w:cstheme="minorHAnsi"/>
          <w:shd w:val="clear" w:color="auto" w:fill="FFFFFF"/>
          <w:lang w:val="es-ES_tradnl"/>
        </w:rPr>
        <w:t>Cobertura territorial</w:t>
      </w:r>
      <w:r w:rsidR="00873123">
        <w:rPr>
          <w:rFonts w:ascii="Roboto" w:hAnsi="Roboto" w:cstheme="minorHAnsi"/>
          <w:shd w:val="clear" w:color="auto" w:fill="FFFFFF"/>
          <w:lang w:val="es-ES_tradnl"/>
        </w:rPr>
        <w:t>.</w:t>
      </w:r>
    </w:p>
    <w:p w14:paraId="16D5762E" w14:textId="5DF8CA98" w:rsidR="00FB7F5E" w:rsidRPr="006F213F" w:rsidRDefault="00FB7F5E" w:rsidP="00FB7F5E">
      <w:pPr>
        <w:pStyle w:val="Titre1"/>
        <w:rPr>
          <w:lang w:val="es-ES_tradnl"/>
        </w:rPr>
      </w:pPr>
      <w:bookmarkStart w:id="6" w:name="_Toc94541052"/>
      <w:bookmarkStart w:id="7" w:name="_Toc98435844"/>
      <w:r w:rsidRPr="006F213F">
        <w:rPr>
          <w:lang w:val="es-ES_tradnl"/>
        </w:rPr>
        <w:t>Entidades beneficiarias</w:t>
      </w:r>
      <w:bookmarkEnd w:id="6"/>
      <w:bookmarkEnd w:id="7"/>
    </w:p>
    <w:p w14:paraId="16237E5B" w14:textId="77777777" w:rsidR="00FB7F5E" w:rsidRPr="006F213F" w:rsidRDefault="00FB7F5E" w:rsidP="00FB7F5E">
      <w:pPr>
        <w:pStyle w:val="Default"/>
        <w:jc w:val="both"/>
        <w:rPr>
          <w:rFonts w:ascii="Roboto" w:hAnsi="Roboto" w:cstheme="minorHAnsi"/>
          <w:color w:val="auto"/>
          <w:sz w:val="22"/>
          <w:szCs w:val="22"/>
          <w:lang w:val="es-ES_tradnl"/>
        </w:rPr>
      </w:pPr>
    </w:p>
    <w:p w14:paraId="6AB33303" w14:textId="77777777" w:rsidR="00FB7F5E" w:rsidRPr="006F213F" w:rsidRDefault="00FB7F5E" w:rsidP="00FB7F5E">
      <w:pPr>
        <w:pStyle w:val="Default"/>
        <w:jc w:val="both"/>
        <w:rPr>
          <w:rFonts w:ascii="Roboto" w:hAnsi="Roboto" w:cstheme="minorHAnsi"/>
          <w:color w:val="auto"/>
          <w:sz w:val="22"/>
          <w:szCs w:val="22"/>
          <w:lang w:val="es-ES_tradnl"/>
        </w:rPr>
      </w:pPr>
      <w:r w:rsidRPr="006F213F">
        <w:rPr>
          <w:rFonts w:ascii="Roboto" w:hAnsi="Roboto" w:cstheme="minorHAnsi"/>
          <w:color w:val="auto"/>
          <w:sz w:val="22"/>
          <w:szCs w:val="22"/>
          <w:lang w:val="es-ES_tradnl"/>
        </w:rPr>
        <w:t xml:space="preserve">El objetivo de la convocatoria de proyectos es apoyar iniciativas con un verdadero carácter trilateral, desde su génesis hasta su realización final, con </w:t>
      </w:r>
      <w:r w:rsidRPr="006F213F">
        <w:rPr>
          <w:rFonts w:ascii="Roboto" w:hAnsi="Roboto" w:cstheme="minorHAnsi"/>
          <w:b/>
          <w:bCs/>
          <w:color w:val="auto"/>
          <w:sz w:val="22"/>
          <w:szCs w:val="22"/>
          <w:lang w:val="es-ES_tradnl"/>
        </w:rPr>
        <w:t xml:space="preserve">al menos una entidad socia de cada uno de los territorios miembros de la AECT. </w:t>
      </w:r>
    </w:p>
    <w:p w14:paraId="77B8DEA4" w14:textId="77777777" w:rsidR="00FB7F5E" w:rsidRPr="006F213F" w:rsidRDefault="00FB7F5E" w:rsidP="00FB7F5E">
      <w:pPr>
        <w:pStyle w:val="Default"/>
        <w:jc w:val="both"/>
        <w:rPr>
          <w:rFonts w:ascii="Roboto" w:hAnsi="Roboto" w:cstheme="minorHAnsi"/>
          <w:color w:val="auto"/>
          <w:sz w:val="22"/>
          <w:szCs w:val="22"/>
          <w:lang w:val="es-ES_tradnl"/>
        </w:rPr>
      </w:pPr>
    </w:p>
    <w:p w14:paraId="0A4230A5" w14:textId="6F7C777F" w:rsidR="00FB7F5E" w:rsidRPr="006F213F" w:rsidRDefault="00FB7F5E" w:rsidP="00FB7F5E">
      <w:pPr>
        <w:rPr>
          <w:rFonts w:cstheme="minorHAnsi"/>
        </w:rPr>
      </w:pPr>
      <w:r w:rsidRPr="006F213F">
        <w:rPr>
          <w:rFonts w:cstheme="minorHAnsi"/>
        </w:rPr>
        <w:t xml:space="preserve">Las entidades beneficiarias que pueden optar a la convocatoria de proyectos son entidades u organismos con personalidad jurídica, de naturaleza tanto pública como privada (empresas privadas, entes públicos y entidades sin ánimo de lucro), ubicadas en los territorios de la </w:t>
      </w:r>
      <w:r w:rsidRPr="006F213F">
        <w:rPr>
          <w:rFonts w:cstheme="minorHAnsi"/>
        </w:rPr>
        <w:lastRenderedPageBreak/>
        <w:t xml:space="preserve">Región de Nueva-Aquitania, la Comunidad Autónoma de Euskadi y la Comunidad Foral de Navarra. </w:t>
      </w:r>
    </w:p>
    <w:p w14:paraId="2850CF2F" w14:textId="77777777" w:rsidR="00FB7F5E" w:rsidRPr="006F213F" w:rsidRDefault="00FB7F5E" w:rsidP="00FB7F5E">
      <w:pPr>
        <w:pStyle w:val="Default"/>
        <w:jc w:val="both"/>
        <w:rPr>
          <w:rFonts w:ascii="Roboto" w:hAnsi="Roboto" w:cstheme="minorHAnsi"/>
          <w:color w:val="auto"/>
          <w:sz w:val="22"/>
          <w:szCs w:val="22"/>
          <w:lang w:val="es-ES_tradnl"/>
        </w:rPr>
      </w:pPr>
    </w:p>
    <w:p w14:paraId="3F28FC1D" w14:textId="77777777" w:rsidR="00FB7F5E" w:rsidRPr="006F213F" w:rsidRDefault="00FB7F5E" w:rsidP="00FB7F5E">
      <w:pPr>
        <w:rPr>
          <w:rFonts w:cstheme="minorHAnsi"/>
          <w:lang w:val="es-ES_tradnl"/>
        </w:rPr>
      </w:pPr>
      <w:r w:rsidRPr="006F213F">
        <w:rPr>
          <w:rFonts w:cstheme="minorHAnsi"/>
          <w:lang w:val="es-ES_tradnl"/>
        </w:rPr>
        <w:t xml:space="preserve">Los beneficiarios deben tener su domicilio o sede social en los territorios de la Región de Nueva-Aquitania, la Comunidad Autónoma de Euskadi o la Comunidad Foral de Navarra. </w:t>
      </w:r>
    </w:p>
    <w:p w14:paraId="4492C30D" w14:textId="66A13C0E" w:rsidR="00016C24" w:rsidRPr="00016C24" w:rsidRDefault="00016C24" w:rsidP="00016C24">
      <w:pPr>
        <w:pStyle w:val="Titre1"/>
        <w:rPr>
          <w:lang w:val="es-ES_tradnl"/>
        </w:rPr>
      </w:pPr>
      <w:bookmarkStart w:id="8" w:name="_Toc94541053"/>
      <w:bookmarkStart w:id="9" w:name="_Toc98435845"/>
      <w:r w:rsidRPr="006F213F">
        <w:rPr>
          <w:lang w:val="es-ES_tradnl"/>
        </w:rPr>
        <w:t>Importe y financiación</w:t>
      </w:r>
      <w:bookmarkEnd w:id="8"/>
      <w:bookmarkEnd w:id="9"/>
    </w:p>
    <w:p w14:paraId="4D5195C6" w14:textId="311D5FDA" w:rsidR="00016C24" w:rsidRPr="006F213F" w:rsidRDefault="00016C24" w:rsidP="00016C24">
      <w:pPr>
        <w:rPr>
          <w:lang w:val="es-ES_tradnl"/>
        </w:rPr>
      </w:pPr>
      <w:r w:rsidRPr="006F213F">
        <w:rPr>
          <w:lang w:val="es-ES_tradnl"/>
        </w:rPr>
        <w:t xml:space="preserve">La dotación global de esta convocatoria de proyectos es de </w:t>
      </w:r>
      <w:r w:rsidR="002D4F94" w:rsidRPr="00682E96">
        <w:rPr>
          <w:lang w:val="es-ES_tradnl"/>
        </w:rPr>
        <w:t>4</w:t>
      </w:r>
      <w:r w:rsidRPr="00682E96">
        <w:rPr>
          <w:lang w:val="es-ES_tradnl"/>
        </w:rPr>
        <w:t>00.000 euros.</w:t>
      </w:r>
    </w:p>
    <w:p w14:paraId="4DEBB4C8" w14:textId="6B4B80F0" w:rsidR="00016C24" w:rsidRPr="006F213F" w:rsidRDefault="00016C24" w:rsidP="00016C24">
      <w:pPr>
        <w:rPr>
          <w:lang w:val="es-ES_tradnl"/>
        </w:rPr>
      </w:pPr>
      <w:r w:rsidRPr="006F213F">
        <w:rPr>
          <w:lang w:val="es-ES_tradnl"/>
        </w:rPr>
        <w:t xml:space="preserve">El importe máximo de las subvenciones concedidas por la Eurorregión Nueva-Aquitania Euskadi Navarra en el marco de la convocatoria de proyectos podrá alcanzar el 50% del coste total del proyecto, y </w:t>
      </w:r>
      <w:r w:rsidRPr="006F213F">
        <w:rPr>
          <w:b/>
          <w:bCs/>
          <w:lang w:val="es-ES_tradnl"/>
        </w:rPr>
        <w:t xml:space="preserve">será de un máximo de </w:t>
      </w:r>
      <w:r w:rsidR="002D4F94">
        <w:rPr>
          <w:b/>
          <w:bCs/>
          <w:lang w:val="es-ES_tradnl"/>
        </w:rPr>
        <w:t>75</w:t>
      </w:r>
      <w:r w:rsidRPr="006F213F">
        <w:rPr>
          <w:b/>
          <w:bCs/>
          <w:lang w:val="es-ES_tradnl"/>
        </w:rPr>
        <w:t xml:space="preserve">.000 euros de subvención por proyecto presentado. </w:t>
      </w:r>
    </w:p>
    <w:p w14:paraId="66832D0D" w14:textId="77777777" w:rsidR="00016C24" w:rsidRPr="006F213F" w:rsidRDefault="00016C24" w:rsidP="00016C24">
      <w:pPr>
        <w:rPr>
          <w:lang w:val="es-ES_tradnl"/>
        </w:rPr>
      </w:pPr>
      <w:r w:rsidRPr="006F213F">
        <w:rPr>
          <w:lang w:val="es-ES_tradnl"/>
        </w:rPr>
        <w:t xml:space="preserve">El proyecto deberá contar con una autofinanciación de como mínimo el 20% del coste total del proyecto. </w:t>
      </w:r>
    </w:p>
    <w:p w14:paraId="5164481A" w14:textId="2002B596" w:rsidR="00016C24" w:rsidRPr="006F213F" w:rsidRDefault="00016C24" w:rsidP="00016C24">
      <w:pPr>
        <w:pBdr>
          <w:top w:val="nil"/>
          <w:left w:val="nil"/>
          <w:bottom w:val="nil"/>
          <w:right w:val="nil"/>
          <w:between w:val="nil"/>
        </w:pBdr>
        <w:spacing w:line="240" w:lineRule="auto"/>
      </w:pPr>
      <w:r w:rsidRPr="006F213F">
        <w:t xml:space="preserve">Un proyecto podrá disfrutar de una ayuda de la presente convocatoria y de una subvención del Consejo Regional de Nueva Aquitania, del Gobierno Vasco o del </w:t>
      </w:r>
      <w:r w:rsidR="00EF235F" w:rsidRPr="006F213F">
        <w:t>Gobierno de</w:t>
      </w:r>
      <w:r w:rsidRPr="006F213F">
        <w:t xml:space="preserve"> Navarra, o de todos, con los dispositivos de ayuda clásicos, en las siguientes condiciones:</w:t>
      </w:r>
    </w:p>
    <w:p w14:paraId="7FABB6AF" w14:textId="49390558" w:rsidR="00B95C3F" w:rsidRDefault="00016C24" w:rsidP="00B95C3F">
      <w:pPr>
        <w:numPr>
          <w:ilvl w:val="0"/>
          <w:numId w:val="7"/>
        </w:numPr>
        <w:pBdr>
          <w:top w:val="nil"/>
          <w:left w:val="nil"/>
          <w:bottom w:val="nil"/>
          <w:right w:val="nil"/>
          <w:between w:val="nil"/>
        </w:pBdr>
        <w:spacing w:after="0" w:line="360" w:lineRule="auto"/>
        <w:ind w:right="-100"/>
      </w:pPr>
      <w:r w:rsidRPr="006F213F">
        <w:t>la suma de estas ayudas</w:t>
      </w:r>
      <w:r w:rsidR="002307BD">
        <w:t xml:space="preserve"> (</w:t>
      </w:r>
      <w:r w:rsidR="00F440A4">
        <w:t xml:space="preserve">convocatoria </w:t>
      </w:r>
      <w:r w:rsidR="00D25041">
        <w:t>innovación</w:t>
      </w:r>
      <w:r w:rsidR="00F440A4">
        <w:t xml:space="preserve"> </w:t>
      </w:r>
      <w:r w:rsidR="00555544">
        <w:t xml:space="preserve">+ </w:t>
      </w:r>
      <w:r w:rsidR="00D25041">
        <w:t>subvenciones regionales</w:t>
      </w:r>
      <w:r w:rsidR="00496AF7">
        <w:t>)</w:t>
      </w:r>
      <w:r w:rsidRPr="006F213F">
        <w:t xml:space="preserve"> no puede </w:t>
      </w:r>
      <w:r w:rsidRPr="00682E96">
        <w:t xml:space="preserve">superar </w:t>
      </w:r>
      <w:r w:rsidRPr="00682E96">
        <w:rPr>
          <w:b/>
          <w:bCs/>
        </w:rPr>
        <w:t xml:space="preserve">el </w:t>
      </w:r>
      <w:r w:rsidR="00D1747E" w:rsidRPr="00682E96">
        <w:rPr>
          <w:b/>
          <w:bCs/>
        </w:rPr>
        <w:t>5</w:t>
      </w:r>
      <w:r w:rsidRPr="00682E96">
        <w:rPr>
          <w:b/>
          <w:bCs/>
        </w:rPr>
        <w:t>0 %</w:t>
      </w:r>
      <w:r w:rsidRPr="00682E96">
        <w:t xml:space="preserve"> del</w:t>
      </w:r>
      <w:r w:rsidRPr="006F213F">
        <w:t xml:space="preserve"> coste total del proyecto,</w:t>
      </w:r>
    </w:p>
    <w:p w14:paraId="33E67EFC" w14:textId="0F16FB19" w:rsidR="00B95C3F" w:rsidRDefault="00016C24" w:rsidP="00B95C3F">
      <w:pPr>
        <w:numPr>
          <w:ilvl w:val="0"/>
          <w:numId w:val="7"/>
        </w:numPr>
        <w:pBdr>
          <w:top w:val="nil"/>
          <w:left w:val="nil"/>
          <w:bottom w:val="nil"/>
          <w:right w:val="nil"/>
          <w:between w:val="nil"/>
        </w:pBdr>
        <w:spacing w:after="0" w:line="276" w:lineRule="auto"/>
        <w:ind w:right="-100"/>
      </w:pPr>
      <w:r w:rsidRPr="00B95C3F">
        <w:t>la naturaleza, los objetivos y la financiación del proyecto justifican la acumulación de las ayudas.</w:t>
      </w:r>
    </w:p>
    <w:p w14:paraId="0B98A163" w14:textId="7525E1C0" w:rsidR="006B69EF" w:rsidRPr="00CF5549" w:rsidRDefault="00C42B9A" w:rsidP="00B95C3F">
      <w:pPr>
        <w:pBdr>
          <w:top w:val="nil"/>
          <w:left w:val="nil"/>
          <w:bottom w:val="nil"/>
          <w:right w:val="nil"/>
          <w:between w:val="nil"/>
        </w:pBdr>
        <w:spacing w:after="0" w:line="360" w:lineRule="auto"/>
        <w:ind w:right="-100"/>
      </w:pPr>
      <w:r>
        <w:rPr>
          <w:rFonts w:asciiTheme="minorHAnsi" w:hAnsiTheme="minorHAnsi" w:cstheme="minorHAnsi"/>
          <w:b/>
          <w:bCs/>
          <w:noProof/>
          <w:lang w:eastAsia="es-ES"/>
        </w:rPr>
        <w:lastRenderedPageBreak/>
        <w:drawing>
          <wp:anchor distT="0" distB="0" distL="114300" distR="114300" simplePos="0" relativeHeight="251658240" behindDoc="1" locked="0" layoutInCell="1" allowOverlap="1" wp14:anchorId="14558223" wp14:editId="49527218">
            <wp:simplePos x="0" y="0"/>
            <wp:positionH relativeFrom="margin">
              <wp:align>center</wp:align>
            </wp:positionH>
            <wp:positionV relativeFrom="paragraph">
              <wp:posOffset>408305</wp:posOffset>
            </wp:positionV>
            <wp:extent cx="6083300" cy="3589020"/>
            <wp:effectExtent l="0" t="0" r="0" b="0"/>
            <wp:wrapTight wrapText="bothSides">
              <wp:wrapPolygon edited="0">
                <wp:start x="0" y="0"/>
                <wp:lineTo x="0" y="21439"/>
                <wp:lineTo x="21510" y="21439"/>
                <wp:lineTo x="21510" y="0"/>
                <wp:lineTo x="0" y="0"/>
              </wp:wrapPolygon>
            </wp:wrapTight>
            <wp:docPr id="4" name="Graphique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V relativeFrom="margin">
              <wp14:pctHeight>0</wp14:pctHeight>
            </wp14:sizeRelV>
          </wp:anchor>
        </w:drawing>
      </w:r>
    </w:p>
    <w:p w14:paraId="3DE3EE56" w14:textId="397268A9" w:rsidR="00FC6BDE" w:rsidRPr="00CF5549" w:rsidRDefault="00FC6BDE" w:rsidP="00035DA0">
      <w:pPr>
        <w:pStyle w:val="Default"/>
        <w:jc w:val="both"/>
        <w:rPr>
          <w:rFonts w:ascii="Roboto" w:hAnsi="Roboto" w:cstheme="minorHAnsi"/>
          <w:b/>
          <w:bCs/>
          <w:sz w:val="22"/>
          <w:szCs w:val="22"/>
          <w:lang w:val="es-ES"/>
        </w:rPr>
      </w:pPr>
    </w:p>
    <w:p w14:paraId="347A1171" w14:textId="77777777" w:rsidR="00FC6BDE" w:rsidRPr="00CF5549" w:rsidRDefault="00FC6BDE" w:rsidP="00035DA0">
      <w:pPr>
        <w:pStyle w:val="Default"/>
        <w:jc w:val="both"/>
        <w:rPr>
          <w:rFonts w:ascii="Roboto" w:hAnsi="Roboto" w:cstheme="minorHAnsi"/>
          <w:b/>
          <w:bCs/>
          <w:sz w:val="22"/>
          <w:szCs w:val="22"/>
          <w:lang w:val="es-ES"/>
        </w:rPr>
      </w:pPr>
    </w:p>
    <w:p w14:paraId="70AA7B7B" w14:textId="77777777" w:rsidR="008D5296" w:rsidRPr="006F213F" w:rsidRDefault="008D5296" w:rsidP="008D5296">
      <w:pPr>
        <w:pStyle w:val="Default"/>
        <w:jc w:val="both"/>
        <w:rPr>
          <w:rFonts w:ascii="Roboto" w:hAnsi="Roboto" w:cstheme="minorHAnsi"/>
          <w:color w:val="auto"/>
          <w:sz w:val="22"/>
          <w:szCs w:val="22"/>
          <w:lang w:val="es-ES_tradnl"/>
        </w:rPr>
      </w:pPr>
      <w:r w:rsidRPr="006F213F">
        <w:rPr>
          <w:rFonts w:ascii="Roboto" w:hAnsi="Roboto" w:cstheme="minorHAnsi"/>
          <w:b/>
          <w:bCs/>
          <w:color w:val="auto"/>
          <w:sz w:val="22"/>
          <w:szCs w:val="22"/>
          <w:lang w:val="es-ES_tradnl"/>
        </w:rPr>
        <w:t xml:space="preserve">Serán elegibles los siguientes gastos: </w:t>
      </w:r>
    </w:p>
    <w:p w14:paraId="575020A8" w14:textId="77777777" w:rsidR="008D5296" w:rsidRPr="006F213F" w:rsidRDefault="008D5296" w:rsidP="008D5296">
      <w:pPr>
        <w:pStyle w:val="Default"/>
        <w:numPr>
          <w:ilvl w:val="0"/>
          <w:numId w:val="8"/>
        </w:numPr>
        <w:spacing w:after="47"/>
        <w:jc w:val="both"/>
        <w:rPr>
          <w:rFonts w:ascii="Roboto" w:hAnsi="Roboto" w:cstheme="minorHAnsi"/>
          <w:color w:val="auto"/>
          <w:sz w:val="22"/>
          <w:szCs w:val="22"/>
          <w:lang w:val="es-ES_tradnl"/>
        </w:rPr>
      </w:pPr>
      <w:r w:rsidRPr="006F213F">
        <w:rPr>
          <w:rFonts w:ascii="Roboto" w:hAnsi="Roboto" w:cstheme="minorHAnsi"/>
          <w:color w:val="auto"/>
          <w:sz w:val="22"/>
          <w:szCs w:val="22"/>
          <w:lang w:val="es-ES_tradnl"/>
        </w:rPr>
        <w:t>Gastos de personal.</w:t>
      </w:r>
    </w:p>
    <w:p w14:paraId="3801BA5A" w14:textId="77777777" w:rsidR="008D5296" w:rsidRPr="006F213F" w:rsidRDefault="008D5296" w:rsidP="008D5296">
      <w:pPr>
        <w:pStyle w:val="Default"/>
        <w:numPr>
          <w:ilvl w:val="0"/>
          <w:numId w:val="8"/>
        </w:numPr>
        <w:spacing w:after="47"/>
        <w:jc w:val="both"/>
        <w:rPr>
          <w:rFonts w:ascii="Roboto" w:hAnsi="Roboto" w:cstheme="minorHAnsi"/>
          <w:color w:val="auto"/>
          <w:sz w:val="22"/>
          <w:szCs w:val="22"/>
          <w:lang w:val="es-ES_tradnl"/>
        </w:rPr>
      </w:pPr>
      <w:r w:rsidRPr="006F213F">
        <w:rPr>
          <w:rFonts w:ascii="Roboto" w:hAnsi="Roboto" w:cstheme="minorHAnsi"/>
          <w:color w:val="auto"/>
          <w:sz w:val="22"/>
          <w:szCs w:val="22"/>
          <w:lang w:val="es-ES_tradnl"/>
        </w:rPr>
        <w:t>Gastos de viaje, alojamiento y manutención.</w:t>
      </w:r>
    </w:p>
    <w:p w14:paraId="3556E90F" w14:textId="77777777" w:rsidR="008D5296" w:rsidRPr="006F213F" w:rsidRDefault="008D5296" w:rsidP="008D5296">
      <w:pPr>
        <w:pStyle w:val="Default"/>
        <w:numPr>
          <w:ilvl w:val="0"/>
          <w:numId w:val="8"/>
        </w:numPr>
        <w:jc w:val="both"/>
        <w:rPr>
          <w:rFonts w:ascii="Roboto" w:hAnsi="Roboto" w:cstheme="minorHAnsi"/>
          <w:color w:val="auto"/>
          <w:sz w:val="22"/>
          <w:szCs w:val="22"/>
          <w:lang w:val="es-ES_tradnl"/>
        </w:rPr>
      </w:pPr>
      <w:r w:rsidRPr="006F213F">
        <w:rPr>
          <w:rFonts w:ascii="Roboto" w:hAnsi="Roboto" w:cstheme="minorHAnsi"/>
          <w:color w:val="auto"/>
          <w:sz w:val="22"/>
          <w:szCs w:val="22"/>
          <w:lang w:val="es-ES_tradnl"/>
        </w:rPr>
        <w:t xml:space="preserve">Gastos de servicios externos. </w:t>
      </w:r>
    </w:p>
    <w:p w14:paraId="728BFFB1" w14:textId="407F608B" w:rsidR="008D5296" w:rsidRDefault="008D5296" w:rsidP="008D5296">
      <w:pPr>
        <w:pStyle w:val="Default"/>
        <w:numPr>
          <w:ilvl w:val="0"/>
          <w:numId w:val="8"/>
        </w:numPr>
        <w:jc w:val="both"/>
        <w:rPr>
          <w:rStyle w:val="markedcontent"/>
          <w:rFonts w:ascii="Roboto" w:hAnsi="Roboto" w:cstheme="minorHAnsi"/>
          <w:color w:val="auto"/>
          <w:sz w:val="22"/>
          <w:szCs w:val="22"/>
          <w:lang w:val="es-ES_tradnl"/>
        </w:rPr>
      </w:pPr>
      <w:r w:rsidRPr="006F213F">
        <w:rPr>
          <w:rStyle w:val="markedcontent"/>
          <w:rFonts w:ascii="Roboto" w:hAnsi="Roboto" w:cstheme="minorHAnsi"/>
          <w:color w:val="auto"/>
          <w:sz w:val="22"/>
          <w:szCs w:val="22"/>
          <w:lang w:val="es-ES_tradnl"/>
        </w:rPr>
        <w:t>Inversión y equipamiento, de menos de 500 €.</w:t>
      </w:r>
    </w:p>
    <w:p w14:paraId="447F45BE" w14:textId="77777777" w:rsidR="00612059" w:rsidRPr="00612059" w:rsidRDefault="00612059" w:rsidP="00612059">
      <w:pPr>
        <w:pStyle w:val="Default"/>
        <w:ind w:left="720"/>
        <w:jc w:val="both"/>
        <w:rPr>
          <w:rFonts w:ascii="Roboto" w:hAnsi="Roboto" w:cstheme="minorHAnsi"/>
          <w:color w:val="auto"/>
          <w:sz w:val="22"/>
          <w:szCs w:val="22"/>
          <w:lang w:val="es-ES_tradnl"/>
        </w:rPr>
      </w:pPr>
    </w:p>
    <w:p w14:paraId="7FDD2920" w14:textId="77777777" w:rsidR="008D5296" w:rsidRPr="006F213F" w:rsidRDefault="008D5296" w:rsidP="008D5296">
      <w:pPr>
        <w:rPr>
          <w:b/>
          <w:bCs/>
          <w:lang w:val="es-ES_tradnl"/>
        </w:rPr>
      </w:pPr>
      <w:r w:rsidRPr="006F213F">
        <w:rPr>
          <w:b/>
          <w:bCs/>
          <w:lang w:val="es-ES_tradnl"/>
        </w:rPr>
        <w:t xml:space="preserve">No serán elegibles los siguientes gastos: </w:t>
      </w:r>
    </w:p>
    <w:p w14:paraId="627FAC54" w14:textId="77777777" w:rsidR="008D5296" w:rsidRPr="006F213F" w:rsidRDefault="008D5296" w:rsidP="008D5296">
      <w:pPr>
        <w:pStyle w:val="Paragraphedeliste"/>
        <w:numPr>
          <w:ilvl w:val="0"/>
          <w:numId w:val="8"/>
        </w:numPr>
        <w:jc w:val="both"/>
        <w:rPr>
          <w:rStyle w:val="markedcontent"/>
          <w:rFonts w:ascii="Roboto" w:hAnsi="Roboto" w:cstheme="minorHAnsi"/>
          <w:lang w:val="es-ES_tradnl"/>
        </w:rPr>
      </w:pPr>
      <w:r w:rsidRPr="006F213F">
        <w:rPr>
          <w:rStyle w:val="markedcontent"/>
          <w:rFonts w:ascii="Roboto" w:hAnsi="Roboto" w:cstheme="minorHAnsi"/>
          <w:lang w:val="es-ES_tradnl"/>
        </w:rPr>
        <w:t>Gastos de preparación del proyecto.</w:t>
      </w:r>
    </w:p>
    <w:p w14:paraId="57030E85" w14:textId="77777777" w:rsidR="008D5296" w:rsidRPr="006F213F" w:rsidRDefault="008D5296" w:rsidP="008D5296">
      <w:pPr>
        <w:pStyle w:val="Paragraphedeliste"/>
        <w:numPr>
          <w:ilvl w:val="0"/>
          <w:numId w:val="8"/>
        </w:numPr>
        <w:jc w:val="both"/>
        <w:rPr>
          <w:rFonts w:ascii="Roboto" w:hAnsi="Roboto" w:cstheme="minorHAnsi"/>
          <w:b/>
          <w:bCs/>
          <w:lang w:val="es-ES_tradnl"/>
        </w:rPr>
      </w:pPr>
      <w:r w:rsidRPr="006F213F">
        <w:rPr>
          <w:rStyle w:val="markedcontent"/>
          <w:rFonts w:ascii="Roboto" w:hAnsi="Roboto" w:cstheme="minorHAnsi"/>
          <w:lang w:val="es-ES_tradnl"/>
        </w:rPr>
        <w:t>Gastos generales, de oficina y administrativos.</w:t>
      </w:r>
    </w:p>
    <w:p w14:paraId="2B50F5C2" w14:textId="77777777" w:rsidR="008D5296" w:rsidRPr="006F213F" w:rsidRDefault="008D5296" w:rsidP="008D5296">
      <w:pPr>
        <w:pStyle w:val="Paragraphedeliste"/>
        <w:numPr>
          <w:ilvl w:val="0"/>
          <w:numId w:val="8"/>
        </w:numPr>
        <w:jc w:val="both"/>
        <w:rPr>
          <w:rStyle w:val="markedcontent"/>
          <w:rFonts w:ascii="Roboto" w:hAnsi="Roboto" w:cstheme="minorHAnsi"/>
          <w:b/>
          <w:bCs/>
          <w:lang w:val="es-ES_tradnl"/>
        </w:rPr>
      </w:pPr>
      <w:r w:rsidRPr="006F213F">
        <w:rPr>
          <w:rStyle w:val="markedcontent"/>
          <w:rFonts w:ascii="Roboto" w:hAnsi="Roboto" w:cstheme="minorHAnsi"/>
          <w:lang w:val="es-ES_tradnl"/>
        </w:rPr>
        <w:t>Gastos basados en las facturas emitidas por los socios del proyecto entre sí.</w:t>
      </w:r>
    </w:p>
    <w:p w14:paraId="5BF0ED77" w14:textId="77777777" w:rsidR="008D5296" w:rsidRPr="006F213F" w:rsidRDefault="008D5296" w:rsidP="008D5296">
      <w:pPr>
        <w:pStyle w:val="Paragraphedeliste"/>
        <w:numPr>
          <w:ilvl w:val="0"/>
          <w:numId w:val="8"/>
        </w:numPr>
        <w:jc w:val="both"/>
        <w:rPr>
          <w:rFonts w:ascii="Roboto" w:hAnsi="Roboto" w:cstheme="minorHAnsi"/>
          <w:b/>
          <w:bCs/>
          <w:lang w:val="es-ES_tradnl"/>
        </w:rPr>
      </w:pPr>
      <w:r w:rsidRPr="006F213F">
        <w:rPr>
          <w:rStyle w:val="markedcontent"/>
          <w:rFonts w:ascii="Roboto" w:hAnsi="Roboto" w:cstheme="minorHAnsi"/>
          <w:lang w:val="es-ES_tradnl"/>
        </w:rPr>
        <w:t xml:space="preserve">Gastos realizados con anterioridad a la fecha de selección del proyecto. </w:t>
      </w:r>
    </w:p>
    <w:p w14:paraId="44D2CDD7" w14:textId="77777777" w:rsidR="008D5296" w:rsidRPr="006F213F" w:rsidRDefault="008D5296" w:rsidP="008D5296">
      <w:pPr>
        <w:pStyle w:val="Paragraphedeliste"/>
        <w:numPr>
          <w:ilvl w:val="0"/>
          <w:numId w:val="8"/>
        </w:numPr>
        <w:jc w:val="both"/>
        <w:rPr>
          <w:rStyle w:val="markedcontent"/>
          <w:rFonts w:ascii="Roboto" w:hAnsi="Roboto" w:cstheme="minorHAnsi"/>
          <w:b/>
          <w:bCs/>
          <w:lang w:val="es-ES_tradnl"/>
        </w:rPr>
      </w:pPr>
      <w:r w:rsidRPr="006F213F">
        <w:rPr>
          <w:rStyle w:val="markedcontent"/>
          <w:rFonts w:ascii="Roboto" w:hAnsi="Roboto" w:cstheme="minorHAnsi"/>
          <w:lang w:val="es-ES_tradnl"/>
        </w:rPr>
        <w:t>Impuestos indirectos (IVA), cuando sean recuperables o compensables.</w:t>
      </w:r>
    </w:p>
    <w:p w14:paraId="662F8240" w14:textId="74B10EFC" w:rsidR="008D5296" w:rsidRPr="00FF7836" w:rsidRDefault="008D5296" w:rsidP="008D5296">
      <w:pPr>
        <w:pStyle w:val="Paragraphedeliste"/>
        <w:numPr>
          <w:ilvl w:val="0"/>
          <w:numId w:val="8"/>
        </w:numPr>
        <w:jc w:val="both"/>
        <w:rPr>
          <w:rStyle w:val="markedcontent"/>
          <w:rFonts w:ascii="Roboto" w:hAnsi="Roboto" w:cstheme="minorHAnsi"/>
          <w:b/>
          <w:bCs/>
          <w:lang w:val="es-ES_tradnl"/>
        </w:rPr>
      </w:pPr>
      <w:r w:rsidRPr="006F213F">
        <w:rPr>
          <w:rStyle w:val="markedcontent"/>
          <w:rFonts w:ascii="Roboto" w:hAnsi="Roboto" w:cstheme="minorHAnsi"/>
          <w:lang w:val="es-ES_tradnl"/>
        </w:rPr>
        <w:t>Inversiones y equipamientos (excluyendo las inversiones en pequeños equipos de menos de 500 euros)</w:t>
      </w:r>
      <w:r w:rsidR="0096479E">
        <w:rPr>
          <w:rStyle w:val="markedcontent"/>
          <w:rFonts w:ascii="Roboto" w:hAnsi="Roboto" w:cstheme="minorHAnsi"/>
          <w:lang w:val="es-ES_tradnl"/>
        </w:rPr>
        <w:t>.</w:t>
      </w:r>
    </w:p>
    <w:p w14:paraId="266552F9" w14:textId="4798CBE3" w:rsidR="00FF7836" w:rsidRPr="006F213F" w:rsidRDefault="00FF7836" w:rsidP="008D5296">
      <w:pPr>
        <w:pStyle w:val="Paragraphedeliste"/>
        <w:numPr>
          <w:ilvl w:val="0"/>
          <w:numId w:val="8"/>
        </w:numPr>
        <w:jc w:val="both"/>
        <w:rPr>
          <w:rStyle w:val="markedcontent"/>
          <w:rFonts w:ascii="Roboto" w:hAnsi="Roboto" w:cstheme="minorHAnsi"/>
          <w:b/>
          <w:bCs/>
          <w:lang w:val="es-ES_tradnl"/>
        </w:rPr>
      </w:pPr>
      <w:r>
        <w:rPr>
          <w:rStyle w:val="markedcontent"/>
          <w:rFonts w:ascii="Roboto" w:hAnsi="Roboto" w:cstheme="minorHAnsi"/>
          <w:lang w:val="es-ES_tradnl"/>
        </w:rPr>
        <w:t>Gastos bancarios</w:t>
      </w:r>
      <w:r w:rsidR="0096479E">
        <w:rPr>
          <w:rStyle w:val="markedcontent"/>
          <w:rFonts w:ascii="Roboto" w:hAnsi="Roboto" w:cstheme="minorHAnsi"/>
          <w:lang w:val="es-ES_tradnl"/>
        </w:rPr>
        <w:t>.</w:t>
      </w:r>
    </w:p>
    <w:p w14:paraId="47A4C696" w14:textId="43D17CEF" w:rsidR="008D5296" w:rsidRPr="006F213F" w:rsidRDefault="008D5296" w:rsidP="008D5296">
      <w:pPr>
        <w:rPr>
          <w:lang w:val="es-ES_tradnl"/>
        </w:rPr>
      </w:pPr>
      <w:r w:rsidRPr="006F213F">
        <w:rPr>
          <w:lang w:val="es-ES_tradnl"/>
        </w:rPr>
        <w:t xml:space="preserve">En el caso de estructuras no sujetas al IVA, la contribución se referirá al coste total, incluido el IVA. El beneficiario deberá presentar un documento </w:t>
      </w:r>
      <w:r w:rsidR="0096479E">
        <w:rPr>
          <w:lang w:val="es-ES_tradnl"/>
        </w:rPr>
        <w:t xml:space="preserve">autoridad fiscal </w:t>
      </w:r>
      <w:r w:rsidR="00EF235F">
        <w:rPr>
          <w:lang w:val="es-ES_tradnl"/>
        </w:rPr>
        <w:t>competente</w:t>
      </w:r>
      <w:r w:rsidR="00323061">
        <w:rPr>
          <w:lang w:val="es-ES_tradnl"/>
        </w:rPr>
        <w:t xml:space="preserve"> </w:t>
      </w:r>
      <w:r w:rsidRPr="006F213F">
        <w:rPr>
          <w:lang w:val="es-ES_tradnl"/>
        </w:rPr>
        <w:t>que justifique la no recuperación del IVA.</w:t>
      </w:r>
    </w:p>
    <w:p w14:paraId="617404BE" w14:textId="3137F626" w:rsidR="00FC6BDE" w:rsidRDefault="008D5296" w:rsidP="008D5296">
      <w:pPr>
        <w:rPr>
          <w:lang w:val="es-ES_tradnl"/>
        </w:rPr>
      </w:pPr>
      <w:r w:rsidRPr="006F213F">
        <w:rPr>
          <w:lang w:val="es-ES_tradnl"/>
        </w:rPr>
        <w:lastRenderedPageBreak/>
        <w:t xml:space="preserve">La subvención está sujeta al reglamento de minimis, (Reglamento (UE) 2020/972 de la Comisión, de 2 de julio de 2020). Las entidades beneficiarias deberán cumplimentar la declaración responsable anexa a la convocatoria. </w:t>
      </w:r>
    </w:p>
    <w:p w14:paraId="241E82FE" w14:textId="074F3577" w:rsidR="005A142A" w:rsidRPr="005A142A" w:rsidRDefault="005A142A" w:rsidP="005A142A">
      <w:pPr>
        <w:pStyle w:val="Titre1"/>
        <w:rPr>
          <w:lang w:val="es-ES_tradnl"/>
        </w:rPr>
      </w:pPr>
      <w:bookmarkStart w:id="10" w:name="_Toc98435846"/>
      <w:r w:rsidRPr="006F213F">
        <w:rPr>
          <w:lang w:val="es-ES_tradnl"/>
        </w:rPr>
        <w:t>Presentación y calendario</w:t>
      </w:r>
      <w:bookmarkEnd w:id="10"/>
      <w:r w:rsidRPr="006F213F">
        <w:rPr>
          <w:lang w:val="es-ES_tradnl"/>
        </w:rPr>
        <w:t xml:space="preserve"> </w:t>
      </w:r>
    </w:p>
    <w:p w14:paraId="6654F697" w14:textId="70A43BDB" w:rsidR="005A142A" w:rsidRPr="005A142A" w:rsidRDefault="005A142A" w:rsidP="005A142A">
      <w:pPr>
        <w:pStyle w:val="Titre2"/>
        <w:rPr>
          <w:shd w:val="clear" w:color="auto" w:fill="FFFFFF"/>
          <w:lang w:val="es-ES_tradnl"/>
        </w:rPr>
      </w:pPr>
      <w:bookmarkStart w:id="11" w:name="_Toc94541055"/>
      <w:bookmarkStart w:id="12" w:name="_Toc98435847"/>
      <w:r w:rsidRPr="006F213F">
        <w:rPr>
          <w:shd w:val="clear" w:color="auto" w:fill="FFFFFF"/>
          <w:lang w:val="es-ES_tradnl"/>
        </w:rPr>
        <w:t>Calendario de la convocatoria de proyectos</w:t>
      </w:r>
      <w:bookmarkEnd w:id="11"/>
      <w:bookmarkEnd w:id="12"/>
    </w:p>
    <w:p w14:paraId="6484F850" w14:textId="77777777" w:rsidR="005A142A" w:rsidRPr="006F213F" w:rsidRDefault="005A142A" w:rsidP="005A142A">
      <w:pPr>
        <w:rPr>
          <w:rFonts w:cstheme="minorHAnsi"/>
          <w:shd w:val="clear" w:color="auto" w:fill="FFFFFF"/>
          <w:lang w:val="es-ES_tradnl"/>
        </w:rPr>
      </w:pPr>
      <w:r w:rsidRPr="006F213F">
        <w:rPr>
          <w:rFonts w:cstheme="minorHAnsi"/>
          <w:shd w:val="clear" w:color="auto" w:fill="FFFFFF"/>
          <w:lang w:val="es-ES_tradnl"/>
        </w:rPr>
        <w:t>El calendario de esta convocatoria de proyectos es el siguiente:</w:t>
      </w:r>
    </w:p>
    <w:p w14:paraId="5C36FFC2" w14:textId="275A51FC" w:rsidR="005A142A" w:rsidRPr="006F213F" w:rsidRDefault="005A142A" w:rsidP="005A142A">
      <w:pPr>
        <w:pStyle w:val="Paragraphedeliste"/>
        <w:numPr>
          <w:ilvl w:val="0"/>
          <w:numId w:val="8"/>
        </w:numPr>
        <w:jc w:val="both"/>
        <w:rPr>
          <w:rFonts w:ascii="Roboto" w:hAnsi="Roboto" w:cstheme="minorHAnsi"/>
          <w:shd w:val="clear" w:color="auto" w:fill="FFFFFF"/>
          <w:lang w:val="es-ES_tradnl"/>
        </w:rPr>
      </w:pPr>
      <w:r w:rsidRPr="006F213F">
        <w:rPr>
          <w:rFonts w:ascii="Roboto" w:hAnsi="Roboto" w:cstheme="minorHAnsi"/>
          <w:shd w:val="clear" w:color="auto" w:fill="FFFFFF"/>
          <w:lang w:val="es-ES_tradnl"/>
        </w:rPr>
        <w:t xml:space="preserve">El plazo de solicitud en la página web de la Eurorregión </w:t>
      </w:r>
      <w:hyperlink r:id="rId14" w:history="1">
        <w:r w:rsidRPr="006F213F">
          <w:rPr>
            <w:rStyle w:val="Lienhypertexte"/>
            <w:rFonts w:ascii="Roboto" w:hAnsi="Roboto" w:cstheme="minorHAnsi"/>
            <w:color w:val="auto"/>
            <w:shd w:val="clear" w:color="auto" w:fill="FFFFFF"/>
            <w:lang w:val="es-ES_tradnl"/>
          </w:rPr>
          <w:t>(www.euroregion-naen.eu</w:t>
        </w:r>
      </w:hyperlink>
      <w:r w:rsidRPr="006F213F">
        <w:rPr>
          <w:rFonts w:ascii="Roboto" w:hAnsi="Roboto" w:cstheme="minorHAnsi"/>
          <w:shd w:val="clear" w:color="auto" w:fill="FFFFFF"/>
          <w:lang w:val="es-ES_tradnl"/>
        </w:rPr>
        <w:t xml:space="preserve"> ) está </w:t>
      </w:r>
      <w:r w:rsidRPr="00A91427">
        <w:rPr>
          <w:rFonts w:ascii="Roboto" w:hAnsi="Roboto" w:cstheme="minorHAnsi"/>
          <w:shd w:val="clear" w:color="auto" w:fill="FFFFFF"/>
          <w:lang w:val="es-ES_tradnl"/>
        </w:rPr>
        <w:t xml:space="preserve">abierto desde el </w:t>
      </w:r>
      <w:r w:rsidR="002F2C60" w:rsidRPr="00EF235F">
        <w:rPr>
          <w:rFonts w:ascii="Roboto" w:hAnsi="Roboto" w:cstheme="minorHAnsi"/>
          <w:b/>
          <w:bCs/>
          <w:shd w:val="clear" w:color="auto" w:fill="FFFFFF"/>
          <w:lang w:val="es-ES_tradnl"/>
        </w:rPr>
        <w:t>28</w:t>
      </w:r>
      <w:r w:rsidRPr="00EF235F">
        <w:rPr>
          <w:rFonts w:ascii="Roboto" w:hAnsi="Roboto" w:cstheme="minorHAnsi"/>
          <w:b/>
          <w:bCs/>
          <w:shd w:val="clear" w:color="auto" w:fill="FFFFFF"/>
          <w:lang w:val="es-ES_tradnl"/>
        </w:rPr>
        <w:t xml:space="preserve"> de </w:t>
      </w:r>
      <w:r w:rsidR="002F2C60" w:rsidRPr="00EF235F">
        <w:rPr>
          <w:rFonts w:ascii="Roboto" w:hAnsi="Roboto" w:cstheme="minorHAnsi"/>
          <w:b/>
          <w:bCs/>
          <w:shd w:val="clear" w:color="auto" w:fill="FFFFFF"/>
          <w:lang w:val="es-ES_tradnl"/>
        </w:rPr>
        <w:t>septiembre</w:t>
      </w:r>
      <w:r w:rsidRPr="00EF235F">
        <w:rPr>
          <w:rFonts w:ascii="Roboto" w:hAnsi="Roboto" w:cstheme="minorHAnsi"/>
          <w:b/>
          <w:bCs/>
          <w:shd w:val="clear" w:color="auto" w:fill="FFFFFF"/>
          <w:lang w:val="es-ES_tradnl"/>
        </w:rPr>
        <w:t xml:space="preserve"> hasta </w:t>
      </w:r>
      <w:r w:rsidR="0070073B" w:rsidRPr="00EF235F">
        <w:rPr>
          <w:rFonts w:ascii="Roboto" w:hAnsi="Roboto" w:cstheme="minorHAnsi"/>
          <w:b/>
          <w:bCs/>
          <w:shd w:val="clear" w:color="auto" w:fill="FFFFFF"/>
          <w:lang w:val="es-ES_tradnl"/>
        </w:rPr>
        <w:t>el 3</w:t>
      </w:r>
      <w:r w:rsidRPr="00EF235F">
        <w:rPr>
          <w:rFonts w:ascii="Roboto" w:hAnsi="Roboto" w:cstheme="minorHAnsi"/>
          <w:b/>
          <w:bCs/>
          <w:shd w:val="clear" w:color="auto" w:fill="FFFFFF"/>
          <w:lang w:val="es-ES_tradnl"/>
        </w:rPr>
        <w:t xml:space="preserve"> de </w:t>
      </w:r>
      <w:r w:rsidR="0070073B" w:rsidRPr="00EF235F">
        <w:rPr>
          <w:rFonts w:ascii="Roboto" w:hAnsi="Roboto" w:cstheme="minorHAnsi"/>
          <w:b/>
          <w:bCs/>
          <w:shd w:val="clear" w:color="auto" w:fill="FFFFFF"/>
          <w:lang w:val="es-ES_tradnl"/>
        </w:rPr>
        <w:t>noviembre</w:t>
      </w:r>
      <w:r w:rsidRPr="00EF235F">
        <w:rPr>
          <w:rFonts w:ascii="Roboto" w:hAnsi="Roboto" w:cstheme="minorHAnsi"/>
          <w:b/>
          <w:bCs/>
          <w:shd w:val="clear" w:color="auto" w:fill="FFFFFF"/>
          <w:lang w:val="es-ES_tradnl"/>
        </w:rPr>
        <w:t xml:space="preserve"> de 2022</w:t>
      </w:r>
      <w:r w:rsidRPr="00A91427">
        <w:rPr>
          <w:rFonts w:ascii="Roboto" w:hAnsi="Roboto" w:cstheme="minorHAnsi"/>
          <w:shd w:val="clear" w:color="auto" w:fill="FFFFFF"/>
          <w:lang w:val="es-ES_tradnl"/>
        </w:rPr>
        <w:t>, a</w:t>
      </w:r>
      <w:r w:rsidRPr="006F213F">
        <w:rPr>
          <w:rFonts w:ascii="Roboto" w:hAnsi="Roboto" w:cstheme="minorHAnsi"/>
          <w:shd w:val="clear" w:color="auto" w:fill="FFFFFF"/>
          <w:lang w:val="es-ES_tradnl"/>
        </w:rPr>
        <w:t xml:space="preserve"> las 12h00. No se aceptarán las candidaturas presentadas después de las 12h00 del 3 de </w:t>
      </w:r>
      <w:r w:rsidR="0070073B">
        <w:rPr>
          <w:rFonts w:ascii="Roboto" w:hAnsi="Roboto" w:cstheme="minorHAnsi"/>
          <w:shd w:val="clear" w:color="auto" w:fill="FFFFFF"/>
          <w:lang w:val="es-ES_tradnl"/>
        </w:rPr>
        <w:t>noviembre</w:t>
      </w:r>
      <w:r w:rsidRPr="006F213F">
        <w:rPr>
          <w:rFonts w:ascii="Roboto" w:hAnsi="Roboto" w:cstheme="minorHAnsi"/>
          <w:shd w:val="clear" w:color="auto" w:fill="FFFFFF"/>
          <w:lang w:val="es-ES_tradnl"/>
        </w:rPr>
        <w:t xml:space="preserve"> de 2022.</w:t>
      </w:r>
    </w:p>
    <w:p w14:paraId="258E418C" w14:textId="3FD29773" w:rsidR="005A142A" w:rsidRPr="005A142A" w:rsidRDefault="005A142A" w:rsidP="005A142A">
      <w:pPr>
        <w:spacing w:line="276" w:lineRule="auto"/>
        <w:rPr>
          <w:rFonts w:cstheme="minorHAnsi"/>
          <w:b/>
          <w:bCs/>
          <w:lang w:val="es-ES_tradnl"/>
        </w:rPr>
      </w:pPr>
      <w:r w:rsidRPr="006F213F">
        <w:rPr>
          <w:rFonts w:cstheme="minorHAnsi"/>
          <w:shd w:val="clear" w:color="auto" w:fill="FFFFFF"/>
          <w:lang w:val="es-ES_tradnl"/>
        </w:rPr>
        <w:t xml:space="preserve"> La resolución de la convocatoria tendrá lugar en el plazo de 3 meses desde el cierre de esta. </w:t>
      </w:r>
      <w:r w:rsidRPr="006F213F">
        <w:rPr>
          <w:rFonts w:cstheme="minorHAnsi"/>
          <w:b/>
          <w:bCs/>
          <w:lang w:val="es-ES_tradnl"/>
        </w:rPr>
        <w:t xml:space="preserve">Cualquier expediente incompleto contará con un plazo de 7 días, a partir de la fecha de notificación, para ser completado. </w:t>
      </w:r>
      <w:r w:rsidRPr="006F213F">
        <w:rPr>
          <w:rFonts w:cstheme="minorHAnsi"/>
          <w:lang w:val="es-ES_tradnl"/>
        </w:rPr>
        <w:t xml:space="preserve">Transcurrido este plazo sin la presentación de la documentación solicitada, el expediente será automáticamente rechazado. </w:t>
      </w:r>
      <w:r w:rsidRPr="006F213F">
        <w:rPr>
          <w:rFonts w:cstheme="minorHAnsi"/>
          <w:b/>
          <w:bCs/>
          <w:lang w:val="es-ES_tradnl"/>
        </w:rPr>
        <w:t>La falta de firmas en el acto de compromiso y plan se financiación no es subsanable</w:t>
      </w:r>
      <w:r w:rsidRPr="006F213F">
        <w:rPr>
          <w:rFonts w:cstheme="minorHAnsi"/>
          <w:lang w:val="es-ES_tradnl"/>
        </w:rPr>
        <w:t xml:space="preserve">. </w:t>
      </w:r>
    </w:p>
    <w:p w14:paraId="4F099463" w14:textId="635FCA85" w:rsidR="005A142A" w:rsidRPr="00612059" w:rsidRDefault="005A142A" w:rsidP="005A142A">
      <w:pPr>
        <w:pStyle w:val="Titre2"/>
        <w:rPr>
          <w:lang w:val="es-ES_tradnl"/>
        </w:rPr>
      </w:pPr>
      <w:bookmarkStart w:id="13" w:name="_Toc94541056"/>
      <w:bookmarkStart w:id="14" w:name="_Toc98435848"/>
      <w:r w:rsidRPr="006F213F">
        <w:rPr>
          <w:lang w:val="es-ES_tradnl"/>
        </w:rPr>
        <w:t>Candidatura y documentos</w:t>
      </w:r>
      <w:bookmarkEnd w:id="13"/>
      <w:bookmarkEnd w:id="14"/>
    </w:p>
    <w:p w14:paraId="3D8E72AE" w14:textId="77777777" w:rsidR="005A142A" w:rsidRPr="006F213F" w:rsidRDefault="005A142A" w:rsidP="005A142A">
      <w:pPr>
        <w:pStyle w:val="Default"/>
        <w:jc w:val="both"/>
        <w:rPr>
          <w:rFonts w:ascii="Roboto" w:hAnsi="Roboto" w:cstheme="minorHAnsi"/>
          <w:color w:val="auto"/>
          <w:sz w:val="22"/>
          <w:szCs w:val="22"/>
          <w:lang w:val="es-ES_tradnl"/>
        </w:rPr>
      </w:pPr>
      <w:r w:rsidRPr="006F213F">
        <w:rPr>
          <w:rFonts w:ascii="Roboto" w:hAnsi="Roboto" w:cstheme="minorHAnsi"/>
          <w:color w:val="auto"/>
          <w:sz w:val="22"/>
          <w:szCs w:val="22"/>
          <w:lang w:val="es-ES_tradnl"/>
        </w:rPr>
        <w:t>Los proyectos deben presentarse en formato telemático en la página web de la Eurorregión (</w:t>
      </w:r>
      <w:r w:rsidRPr="006F213F">
        <w:rPr>
          <w:rFonts w:ascii="Roboto" w:hAnsi="Roboto" w:cstheme="minorHAnsi"/>
          <w:b/>
          <w:bCs/>
          <w:color w:val="auto"/>
          <w:sz w:val="22"/>
          <w:szCs w:val="22"/>
          <w:lang w:val="es-ES_tradnl"/>
        </w:rPr>
        <w:t>www.euroregion-naen.eu</w:t>
      </w:r>
      <w:r w:rsidRPr="006F213F">
        <w:rPr>
          <w:rFonts w:ascii="Roboto" w:hAnsi="Roboto" w:cstheme="minorHAnsi"/>
          <w:color w:val="auto"/>
          <w:sz w:val="22"/>
          <w:szCs w:val="22"/>
          <w:lang w:val="es-ES_tradnl"/>
        </w:rPr>
        <w:t xml:space="preserve">), rellenando el formulario electrónico y presentando los siguientes documentos </w:t>
      </w:r>
    </w:p>
    <w:p w14:paraId="1CD25973" w14:textId="77777777" w:rsidR="005A142A" w:rsidRPr="006F213F" w:rsidRDefault="005A142A" w:rsidP="005A142A">
      <w:pPr>
        <w:pStyle w:val="Default"/>
        <w:numPr>
          <w:ilvl w:val="0"/>
          <w:numId w:val="10"/>
        </w:numPr>
        <w:jc w:val="both"/>
        <w:rPr>
          <w:rFonts w:ascii="Roboto" w:hAnsi="Roboto" w:cstheme="minorHAnsi"/>
          <w:color w:val="auto"/>
          <w:sz w:val="22"/>
          <w:szCs w:val="22"/>
          <w:lang w:val="es-ES_tradnl"/>
        </w:rPr>
      </w:pPr>
      <w:r w:rsidRPr="006F213F">
        <w:rPr>
          <w:rFonts w:ascii="Roboto" w:hAnsi="Roboto" w:cstheme="minorHAnsi"/>
          <w:color w:val="auto"/>
          <w:sz w:val="22"/>
          <w:szCs w:val="22"/>
          <w:lang w:val="es-ES_tradnl"/>
        </w:rPr>
        <w:t xml:space="preserve">Ficha del proyecto, </w:t>
      </w:r>
      <w:r w:rsidRPr="006F213F">
        <w:rPr>
          <w:rFonts w:ascii="Roboto" w:hAnsi="Roboto" w:cstheme="minorHAnsi"/>
          <w:b/>
          <w:bCs/>
          <w:color w:val="auto"/>
          <w:sz w:val="22"/>
          <w:szCs w:val="22"/>
          <w:lang w:val="es-ES_tradnl"/>
        </w:rPr>
        <w:t>en las tres lenguas de trabajo de la Eurorregión (euskera, castellano y francés)</w:t>
      </w:r>
    </w:p>
    <w:p w14:paraId="4CBE5B41" w14:textId="77777777" w:rsidR="005A142A" w:rsidRPr="006F213F" w:rsidRDefault="005A142A" w:rsidP="005A142A">
      <w:pPr>
        <w:pStyle w:val="Default"/>
        <w:numPr>
          <w:ilvl w:val="0"/>
          <w:numId w:val="10"/>
        </w:numPr>
        <w:jc w:val="both"/>
        <w:rPr>
          <w:rFonts w:ascii="Roboto" w:hAnsi="Roboto" w:cstheme="minorHAnsi"/>
          <w:color w:val="auto"/>
          <w:sz w:val="22"/>
          <w:szCs w:val="22"/>
          <w:lang w:val="es-ES_tradnl"/>
        </w:rPr>
      </w:pPr>
      <w:r w:rsidRPr="006F213F">
        <w:rPr>
          <w:rFonts w:ascii="Roboto" w:hAnsi="Roboto" w:cstheme="minorHAnsi"/>
          <w:color w:val="auto"/>
          <w:sz w:val="22"/>
          <w:szCs w:val="22"/>
          <w:lang w:val="es-ES_tradnl"/>
        </w:rPr>
        <w:t>Acto de compromiso firmado por los socios (firma electrónica o escaneada).</w:t>
      </w:r>
    </w:p>
    <w:p w14:paraId="3DBFBB95" w14:textId="77777777" w:rsidR="005A142A" w:rsidRPr="006F213F" w:rsidRDefault="005A142A" w:rsidP="005A142A">
      <w:pPr>
        <w:pStyle w:val="Default"/>
        <w:numPr>
          <w:ilvl w:val="0"/>
          <w:numId w:val="10"/>
        </w:numPr>
        <w:jc w:val="both"/>
        <w:rPr>
          <w:rFonts w:ascii="Roboto" w:hAnsi="Roboto" w:cstheme="minorHAnsi"/>
          <w:color w:val="auto"/>
          <w:sz w:val="22"/>
          <w:szCs w:val="22"/>
          <w:lang w:val="es-ES_tradnl"/>
        </w:rPr>
      </w:pPr>
      <w:r w:rsidRPr="006F213F">
        <w:rPr>
          <w:rFonts w:ascii="Roboto" w:hAnsi="Roboto" w:cstheme="minorHAnsi"/>
          <w:color w:val="auto"/>
          <w:sz w:val="22"/>
          <w:szCs w:val="22"/>
          <w:lang w:val="es-ES_tradnl"/>
        </w:rPr>
        <w:t>Declaración responsable relativa a la norma de minimis.</w:t>
      </w:r>
    </w:p>
    <w:p w14:paraId="7F8C1D57" w14:textId="558D789F" w:rsidR="005A142A" w:rsidRPr="006F213F" w:rsidRDefault="005A142A" w:rsidP="005A142A">
      <w:pPr>
        <w:pStyle w:val="Default"/>
        <w:numPr>
          <w:ilvl w:val="0"/>
          <w:numId w:val="10"/>
        </w:numPr>
        <w:jc w:val="both"/>
        <w:rPr>
          <w:rFonts w:ascii="Roboto" w:hAnsi="Roboto" w:cstheme="minorHAnsi"/>
          <w:color w:val="auto"/>
          <w:sz w:val="22"/>
          <w:szCs w:val="22"/>
          <w:lang w:val="es-ES_tradnl"/>
        </w:rPr>
      </w:pPr>
      <w:r w:rsidRPr="006F213F">
        <w:rPr>
          <w:rFonts w:ascii="Roboto" w:hAnsi="Roboto" w:cstheme="minorHAnsi"/>
          <w:color w:val="auto"/>
          <w:sz w:val="22"/>
          <w:szCs w:val="22"/>
          <w:lang w:val="es-ES_tradnl"/>
        </w:rPr>
        <w:t xml:space="preserve">Declaración </w:t>
      </w:r>
      <w:r w:rsidR="0096479E">
        <w:rPr>
          <w:rFonts w:ascii="Roboto" w:hAnsi="Roboto" w:cstheme="minorHAnsi"/>
          <w:color w:val="auto"/>
          <w:sz w:val="22"/>
          <w:szCs w:val="22"/>
          <w:lang w:val="es-ES_tradnl"/>
        </w:rPr>
        <w:t xml:space="preserve">responsable </w:t>
      </w:r>
      <w:r w:rsidRPr="006F213F">
        <w:rPr>
          <w:rFonts w:ascii="Roboto" w:hAnsi="Roboto" w:cstheme="minorHAnsi"/>
          <w:color w:val="auto"/>
          <w:sz w:val="22"/>
          <w:szCs w:val="22"/>
          <w:lang w:val="es-ES_tradnl"/>
        </w:rPr>
        <w:t xml:space="preserve">de no devolución del IVA, si procede. </w:t>
      </w:r>
    </w:p>
    <w:p w14:paraId="3D4E871F" w14:textId="77777777" w:rsidR="005A142A" w:rsidRPr="006F213F" w:rsidRDefault="005A142A" w:rsidP="005A142A">
      <w:pPr>
        <w:pStyle w:val="Default"/>
        <w:numPr>
          <w:ilvl w:val="0"/>
          <w:numId w:val="10"/>
        </w:numPr>
        <w:jc w:val="both"/>
        <w:rPr>
          <w:rFonts w:ascii="Roboto" w:hAnsi="Roboto" w:cstheme="minorHAnsi"/>
          <w:color w:val="auto"/>
          <w:sz w:val="22"/>
          <w:szCs w:val="22"/>
          <w:lang w:val="es-ES_tradnl"/>
        </w:rPr>
      </w:pPr>
      <w:r w:rsidRPr="006F213F">
        <w:rPr>
          <w:rFonts w:ascii="Roboto" w:hAnsi="Roboto" w:cstheme="minorHAnsi"/>
          <w:color w:val="auto"/>
          <w:sz w:val="22"/>
          <w:szCs w:val="22"/>
          <w:lang w:val="es-ES_tradnl"/>
        </w:rPr>
        <w:t xml:space="preserve">Plan de financiación firmado por los socios (firma electrónica o escaneada). </w:t>
      </w:r>
    </w:p>
    <w:p w14:paraId="08A27520" w14:textId="77777777" w:rsidR="005A142A" w:rsidRPr="006F213F" w:rsidRDefault="005A142A" w:rsidP="005A142A">
      <w:pPr>
        <w:pStyle w:val="Default"/>
        <w:spacing w:line="276" w:lineRule="auto"/>
        <w:jc w:val="both"/>
        <w:rPr>
          <w:rFonts w:ascii="Roboto" w:hAnsi="Roboto" w:cstheme="minorHAnsi"/>
          <w:color w:val="auto"/>
          <w:sz w:val="22"/>
          <w:szCs w:val="22"/>
          <w:lang w:val="es-ES_tradnl"/>
        </w:rPr>
      </w:pPr>
    </w:p>
    <w:p w14:paraId="5B73FD54" w14:textId="77777777" w:rsidR="005A142A" w:rsidRPr="006F213F" w:rsidRDefault="005A142A" w:rsidP="005A142A">
      <w:pPr>
        <w:pStyle w:val="Default"/>
        <w:spacing w:line="276" w:lineRule="auto"/>
        <w:jc w:val="both"/>
        <w:rPr>
          <w:rFonts w:ascii="Roboto" w:hAnsi="Roboto" w:cstheme="minorHAnsi"/>
          <w:color w:val="auto"/>
          <w:sz w:val="22"/>
          <w:szCs w:val="22"/>
          <w:lang w:val="es-ES_tradnl"/>
        </w:rPr>
      </w:pPr>
      <w:r w:rsidRPr="006F213F">
        <w:rPr>
          <w:rFonts w:ascii="Roboto" w:hAnsi="Roboto" w:cstheme="minorHAnsi"/>
          <w:color w:val="auto"/>
          <w:sz w:val="22"/>
          <w:szCs w:val="22"/>
          <w:lang w:val="es-ES_tradnl"/>
        </w:rPr>
        <w:t xml:space="preserve">Al final del proceso de registro se enviará un acuse de recibo en forma de mensaje electrónico. </w:t>
      </w:r>
    </w:p>
    <w:p w14:paraId="0BCA5BE8" w14:textId="77777777" w:rsidR="005A142A" w:rsidRPr="006F213F" w:rsidRDefault="005A142A" w:rsidP="005A142A">
      <w:pPr>
        <w:pStyle w:val="Default"/>
        <w:spacing w:line="276" w:lineRule="auto"/>
        <w:jc w:val="both"/>
        <w:rPr>
          <w:rFonts w:ascii="Roboto" w:hAnsi="Roboto" w:cstheme="minorHAnsi"/>
          <w:color w:val="auto"/>
          <w:sz w:val="22"/>
          <w:szCs w:val="22"/>
          <w:lang w:val="es-ES_tradnl"/>
        </w:rPr>
      </w:pPr>
      <w:r w:rsidRPr="006F213F">
        <w:rPr>
          <w:rFonts w:ascii="Roboto" w:hAnsi="Roboto" w:cstheme="minorHAnsi"/>
          <w:color w:val="auto"/>
          <w:sz w:val="22"/>
          <w:szCs w:val="22"/>
          <w:lang w:val="es-ES_tradnl"/>
        </w:rPr>
        <w:t xml:space="preserve">No se aceptan expedientes en papel. </w:t>
      </w:r>
    </w:p>
    <w:p w14:paraId="6D348555" w14:textId="77777777" w:rsidR="005A142A" w:rsidRPr="006F213F" w:rsidRDefault="005A142A" w:rsidP="005A142A">
      <w:pPr>
        <w:pStyle w:val="Default"/>
        <w:jc w:val="both"/>
        <w:rPr>
          <w:rFonts w:ascii="Roboto" w:hAnsi="Roboto" w:cstheme="minorHAnsi"/>
          <w:color w:val="auto"/>
          <w:sz w:val="22"/>
          <w:szCs w:val="22"/>
          <w:lang w:val="es-ES_tradnl"/>
        </w:rPr>
      </w:pPr>
    </w:p>
    <w:p w14:paraId="12EBF49C" w14:textId="77777777" w:rsidR="005A142A" w:rsidRPr="006F213F" w:rsidRDefault="005A142A" w:rsidP="005A142A">
      <w:pPr>
        <w:pStyle w:val="Default"/>
        <w:jc w:val="both"/>
        <w:rPr>
          <w:rFonts w:ascii="Roboto" w:hAnsi="Roboto" w:cstheme="minorHAnsi"/>
          <w:color w:val="auto"/>
          <w:sz w:val="22"/>
          <w:szCs w:val="22"/>
          <w:lang w:val="es-ES_tradnl"/>
        </w:rPr>
      </w:pPr>
      <w:r w:rsidRPr="006F213F">
        <w:rPr>
          <w:rFonts w:ascii="Roboto" w:hAnsi="Roboto" w:cstheme="minorHAnsi"/>
          <w:b/>
          <w:bCs/>
          <w:color w:val="auto"/>
          <w:sz w:val="22"/>
          <w:szCs w:val="22"/>
          <w:lang w:val="es-ES_tradnl"/>
        </w:rPr>
        <w:t xml:space="preserve">Los documentos deben conservarse en su forma original y ponerse a disposición del personal de la Eurorregión que lo solicite. </w:t>
      </w:r>
    </w:p>
    <w:p w14:paraId="0113B95A" w14:textId="77777777" w:rsidR="005A142A" w:rsidRPr="006F213F" w:rsidRDefault="005A142A" w:rsidP="005A142A">
      <w:pPr>
        <w:pStyle w:val="Default"/>
        <w:jc w:val="both"/>
        <w:rPr>
          <w:rFonts w:ascii="Roboto" w:hAnsi="Roboto" w:cstheme="minorHAnsi"/>
          <w:color w:val="auto"/>
          <w:sz w:val="22"/>
          <w:szCs w:val="22"/>
          <w:lang w:val="es-ES_tradnl"/>
        </w:rPr>
      </w:pPr>
    </w:p>
    <w:p w14:paraId="6CBA5968" w14:textId="77777777" w:rsidR="005A142A" w:rsidRPr="006F213F" w:rsidRDefault="005A142A" w:rsidP="005A142A">
      <w:pPr>
        <w:pStyle w:val="Default"/>
        <w:jc w:val="both"/>
        <w:rPr>
          <w:rFonts w:ascii="Roboto" w:hAnsi="Roboto" w:cstheme="minorHAnsi"/>
          <w:color w:val="auto"/>
          <w:sz w:val="22"/>
          <w:szCs w:val="22"/>
          <w:lang w:val="es-ES_tradnl"/>
        </w:rPr>
      </w:pPr>
      <w:r w:rsidRPr="006F213F">
        <w:rPr>
          <w:rFonts w:ascii="Roboto" w:hAnsi="Roboto" w:cstheme="minorHAnsi"/>
          <w:color w:val="auto"/>
          <w:sz w:val="22"/>
          <w:szCs w:val="22"/>
          <w:lang w:val="es-ES_tradnl"/>
        </w:rPr>
        <w:t xml:space="preserve">En caso de que el proyecto sea seleccionado, en la fecha de firma del convenio, los socios tendrán que proporcionar documentos adicionales: </w:t>
      </w:r>
    </w:p>
    <w:p w14:paraId="4404CEF6" w14:textId="77777777" w:rsidR="005A142A" w:rsidRPr="006F213F" w:rsidRDefault="005A142A" w:rsidP="005A142A">
      <w:pPr>
        <w:pStyle w:val="Default"/>
        <w:numPr>
          <w:ilvl w:val="0"/>
          <w:numId w:val="11"/>
        </w:numPr>
        <w:jc w:val="both"/>
        <w:rPr>
          <w:rFonts w:ascii="Roboto" w:hAnsi="Roboto" w:cstheme="minorHAnsi"/>
          <w:color w:val="auto"/>
          <w:sz w:val="22"/>
          <w:szCs w:val="22"/>
          <w:lang w:val="es-ES_tradnl"/>
        </w:rPr>
      </w:pPr>
      <w:r w:rsidRPr="006F213F">
        <w:rPr>
          <w:rFonts w:ascii="Roboto" w:hAnsi="Roboto" w:cstheme="minorHAnsi"/>
          <w:color w:val="auto"/>
          <w:sz w:val="22"/>
          <w:szCs w:val="22"/>
          <w:lang w:val="es-ES_tradnl"/>
        </w:rPr>
        <w:t>CIF o SIRET</w:t>
      </w:r>
    </w:p>
    <w:p w14:paraId="07849334" w14:textId="3A0B848F" w:rsidR="005A142A" w:rsidRPr="0034643C" w:rsidRDefault="005A142A" w:rsidP="005A142A">
      <w:pPr>
        <w:pStyle w:val="Default"/>
        <w:numPr>
          <w:ilvl w:val="0"/>
          <w:numId w:val="11"/>
        </w:numPr>
        <w:jc w:val="both"/>
        <w:rPr>
          <w:rFonts w:ascii="Roboto" w:hAnsi="Roboto"/>
          <w:color w:val="auto"/>
          <w:lang w:val="es-ES_tradnl"/>
        </w:rPr>
      </w:pPr>
      <w:r w:rsidRPr="006F213F">
        <w:rPr>
          <w:rFonts w:ascii="Roboto" w:hAnsi="Roboto" w:cstheme="minorHAnsi"/>
          <w:color w:val="auto"/>
          <w:sz w:val="22"/>
          <w:szCs w:val="22"/>
          <w:lang w:val="es-ES_tradnl"/>
        </w:rPr>
        <w:lastRenderedPageBreak/>
        <w:t>RIB o certificado de cuenta bancaria en formato SEPA (IBAN, BIC) firmado por la autoridad bancaria</w:t>
      </w:r>
      <w:r w:rsidR="003E6228">
        <w:rPr>
          <w:rFonts w:ascii="Roboto" w:hAnsi="Roboto" w:cstheme="minorHAnsi"/>
          <w:color w:val="auto"/>
          <w:sz w:val="22"/>
          <w:szCs w:val="22"/>
          <w:lang w:val="es-ES_tradnl"/>
        </w:rPr>
        <w:t xml:space="preserve"> competente hace</w:t>
      </w:r>
      <w:r>
        <w:rPr>
          <w:rFonts w:ascii="Roboto" w:hAnsi="Roboto" w:cstheme="minorHAnsi"/>
          <w:color w:val="auto"/>
          <w:sz w:val="22"/>
          <w:szCs w:val="22"/>
          <w:lang w:val="es-ES_tradnl"/>
        </w:rPr>
        <w:t xml:space="preserve"> menos de seis meses. </w:t>
      </w:r>
    </w:p>
    <w:p w14:paraId="282BABFF" w14:textId="77777777" w:rsidR="0034643C" w:rsidRPr="0034643C" w:rsidRDefault="0034643C" w:rsidP="0034643C">
      <w:pPr>
        <w:pStyle w:val="Default"/>
        <w:ind w:left="720"/>
        <w:jc w:val="both"/>
        <w:rPr>
          <w:rFonts w:ascii="Roboto" w:hAnsi="Roboto"/>
          <w:color w:val="auto"/>
          <w:lang w:val="es-ES_tradnl"/>
        </w:rPr>
      </w:pPr>
    </w:p>
    <w:p w14:paraId="17027EFE" w14:textId="6E200708" w:rsidR="0034643C" w:rsidRPr="0034643C" w:rsidRDefault="0034643C" w:rsidP="0034643C">
      <w:pPr>
        <w:pStyle w:val="Titre2"/>
        <w:rPr>
          <w:lang w:val="es-ES_tradnl"/>
        </w:rPr>
      </w:pPr>
      <w:bookmarkStart w:id="15" w:name="_Toc94541057"/>
      <w:bookmarkStart w:id="16" w:name="_Toc98435849"/>
      <w:r w:rsidRPr="006F213F">
        <w:rPr>
          <w:lang w:val="es-ES_tradnl"/>
        </w:rPr>
        <w:t>Calendario de realización</w:t>
      </w:r>
      <w:bookmarkEnd w:id="15"/>
      <w:bookmarkEnd w:id="16"/>
    </w:p>
    <w:p w14:paraId="55CE8C39" w14:textId="3E7C4564" w:rsidR="0034643C" w:rsidRPr="006F213F" w:rsidRDefault="0034643C" w:rsidP="0034643C">
      <w:pPr>
        <w:pStyle w:val="Default"/>
        <w:jc w:val="both"/>
        <w:rPr>
          <w:rFonts w:ascii="Roboto" w:hAnsi="Roboto" w:cstheme="minorHAnsi"/>
          <w:color w:val="auto"/>
          <w:sz w:val="22"/>
          <w:szCs w:val="22"/>
          <w:lang w:val="es-ES_tradnl"/>
        </w:rPr>
      </w:pPr>
      <w:r w:rsidRPr="006F213F">
        <w:rPr>
          <w:rFonts w:ascii="Roboto" w:hAnsi="Roboto" w:cstheme="minorHAnsi"/>
          <w:color w:val="auto"/>
          <w:sz w:val="22"/>
          <w:szCs w:val="22"/>
          <w:lang w:val="es-ES_tradnl"/>
        </w:rPr>
        <w:t xml:space="preserve">La duración del proyecto </w:t>
      </w:r>
      <w:r w:rsidRPr="006F213F">
        <w:rPr>
          <w:rFonts w:ascii="Roboto" w:hAnsi="Roboto" w:cstheme="minorHAnsi"/>
          <w:b/>
          <w:bCs/>
          <w:color w:val="auto"/>
          <w:sz w:val="22"/>
          <w:szCs w:val="22"/>
          <w:lang w:val="es-ES_tradnl"/>
        </w:rPr>
        <w:t xml:space="preserve">no puede superar </w:t>
      </w:r>
      <w:r w:rsidRPr="00A91427">
        <w:rPr>
          <w:rFonts w:ascii="Roboto" w:hAnsi="Roboto" w:cstheme="minorHAnsi"/>
          <w:b/>
          <w:bCs/>
          <w:color w:val="auto"/>
          <w:sz w:val="22"/>
          <w:szCs w:val="22"/>
          <w:lang w:val="es-ES_tradnl"/>
        </w:rPr>
        <w:t>los 1</w:t>
      </w:r>
      <w:r w:rsidR="003631E3" w:rsidRPr="00A91427">
        <w:rPr>
          <w:rFonts w:ascii="Roboto" w:hAnsi="Roboto" w:cstheme="minorHAnsi"/>
          <w:b/>
          <w:bCs/>
          <w:color w:val="auto"/>
          <w:sz w:val="22"/>
          <w:szCs w:val="22"/>
          <w:lang w:val="es-ES_tradnl"/>
        </w:rPr>
        <w:t>8</w:t>
      </w:r>
      <w:r w:rsidRPr="006F213F">
        <w:rPr>
          <w:rFonts w:ascii="Roboto" w:hAnsi="Roboto" w:cstheme="minorHAnsi"/>
          <w:b/>
          <w:bCs/>
          <w:color w:val="auto"/>
          <w:sz w:val="22"/>
          <w:szCs w:val="22"/>
          <w:lang w:val="es-ES_tradnl"/>
        </w:rPr>
        <w:t xml:space="preserve"> meses a partir de </w:t>
      </w:r>
      <w:r w:rsidRPr="006F213F">
        <w:rPr>
          <w:rFonts w:ascii="Roboto" w:hAnsi="Roboto" w:cstheme="minorHAnsi"/>
          <w:color w:val="auto"/>
          <w:sz w:val="22"/>
          <w:szCs w:val="22"/>
          <w:lang w:val="es-ES_tradnl"/>
        </w:rPr>
        <w:t xml:space="preserve">la fecha de notificación de la selección. </w:t>
      </w:r>
    </w:p>
    <w:p w14:paraId="6FE63827" w14:textId="77777777" w:rsidR="0034643C" w:rsidRPr="006F213F" w:rsidRDefault="0034643C" w:rsidP="0034643C">
      <w:pPr>
        <w:rPr>
          <w:rFonts w:cstheme="minorHAnsi"/>
          <w:lang w:val="es-ES_tradnl"/>
        </w:rPr>
      </w:pPr>
      <w:r w:rsidRPr="006F213F">
        <w:rPr>
          <w:rFonts w:cstheme="minorHAnsi"/>
          <w:lang w:val="es-ES_tradnl"/>
        </w:rPr>
        <w:t>No se tendrán en cuenta los proyectos terminados antes de la selección.</w:t>
      </w:r>
    </w:p>
    <w:p w14:paraId="6E051B03" w14:textId="77777777" w:rsidR="0034643C" w:rsidRPr="006F213F" w:rsidRDefault="0034643C" w:rsidP="0034643C">
      <w:pPr>
        <w:rPr>
          <w:rFonts w:cstheme="minorHAnsi"/>
          <w:lang w:val="es-ES_tradnl"/>
        </w:rPr>
      </w:pPr>
      <w:r w:rsidRPr="006F213F">
        <w:rPr>
          <w:rFonts w:cstheme="minorHAnsi"/>
          <w:lang w:val="es-ES_tradnl"/>
        </w:rPr>
        <w:t xml:space="preserve">Los proyectos podrán estar empezados antes de la fecha de selección, aunque solo serán elegibles los gastos a partir de esa fecha. </w:t>
      </w:r>
    </w:p>
    <w:p w14:paraId="0CF8CF53" w14:textId="27F79F12" w:rsidR="0034643C" w:rsidRPr="00612059" w:rsidRDefault="0034643C" w:rsidP="0034643C">
      <w:pPr>
        <w:pStyle w:val="Titre1"/>
        <w:rPr>
          <w:lang w:val="es-ES_tradnl"/>
        </w:rPr>
      </w:pPr>
      <w:bookmarkStart w:id="17" w:name="_Toc94541058"/>
      <w:bookmarkStart w:id="18" w:name="_Toc98435850"/>
      <w:r w:rsidRPr="006F213F">
        <w:rPr>
          <w:lang w:val="es-ES_tradnl"/>
        </w:rPr>
        <w:t>Procedimiento de evaluación</w:t>
      </w:r>
      <w:bookmarkEnd w:id="17"/>
      <w:bookmarkEnd w:id="18"/>
    </w:p>
    <w:p w14:paraId="40364B64" w14:textId="77777777" w:rsidR="0034643C" w:rsidRPr="006F213F" w:rsidRDefault="0034643C" w:rsidP="0034643C">
      <w:pPr>
        <w:rPr>
          <w:lang w:val="es-ES_tradnl"/>
        </w:rPr>
      </w:pPr>
      <w:r w:rsidRPr="006F213F">
        <w:rPr>
          <w:lang w:val="es-ES_tradnl"/>
        </w:rPr>
        <w:t xml:space="preserve">La evaluación de los expedientes presentados a la convocatoria de proyectos se realiza en diferentes fases: </w:t>
      </w:r>
    </w:p>
    <w:p w14:paraId="7DF7038E" w14:textId="77777777" w:rsidR="0034643C" w:rsidRPr="006F213F" w:rsidRDefault="0034643C" w:rsidP="0034643C">
      <w:pPr>
        <w:pStyle w:val="Paragraphedeliste"/>
        <w:numPr>
          <w:ilvl w:val="0"/>
          <w:numId w:val="13"/>
        </w:numPr>
        <w:jc w:val="both"/>
        <w:rPr>
          <w:rFonts w:ascii="Roboto" w:hAnsi="Roboto"/>
          <w:lang w:val="es-ES_tradnl"/>
        </w:rPr>
      </w:pPr>
      <w:r w:rsidRPr="006F213F">
        <w:rPr>
          <w:rFonts w:ascii="Roboto" w:hAnsi="Roboto"/>
          <w:lang w:val="es-ES_tradnl"/>
        </w:rPr>
        <w:t>Fase de verificación de los criterios de admisibilidad de los proyectos y socios.</w:t>
      </w:r>
    </w:p>
    <w:p w14:paraId="085062B0" w14:textId="77777777" w:rsidR="0034643C" w:rsidRPr="006F213F" w:rsidRDefault="0034643C" w:rsidP="0034643C">
      <w:pPr>
        <w:pStyle w:val="Paragraphedeliste"/>
        <w:numPr>
          <w:ilvl w:val="0"/>
          <w:numId w:val="13"/>
        </w:numPr>
        <w:jc w:val="both"/>
        <w:rPr>
          <w:rFonts w:ascii="Roboto" w:hAnsi="Roboto"/>
          <w:lang w:val="es-ES_tradnl"/>
        </w:rPr>
      </w:pPr>
      <w:r w:rsidRPr="006F213F">
        <w:rPr>
          <w:rFonts w:ascii="Roboto" w:hAnsi="Roboto"/>
          <w:lang w:val="es-ES_tradnl"/>
        </w:rPr>
        <w:t>Fase de evaluación técnica de los expedientes por parte de los equipos técnicos de los tres gobiernos miembros de la Eurorregión.</w:t>
      </w:r>
    </w:p>
    <w:p w14:paraId="74979194" w14:textId="521A8D5E" w:rsidR="005A142A" w:rsidRPr="00612059" w:rsidRDefault="0034643C" w:rsidP="008D5296">
      <w:pPr>
        <w:pStyle w:val="Paragraphedeliste"/>
        <w:numPr>
          <w:ilvl w:val="0"/>
          <w:numId w:val="13"/>
        </w:numPr>
        <w:jc w:val="both"/>
        <w:rPr>
          <w:rFonts w:ascii="Roboto" w:hAnsi="Roboto" w:cs="Calibri"/>
          <w:lang w:val="es-ES_tradnl"/>
        </w:rPr>
      </w:pPr>
      <w:r w:rsidRPr="006F213F">
        <w:rPr>
          <w:rFonts w:ascii="Roboto" w:hAnsi="Roboto"/>
          <w:lang w:val="es-ES_tradnl"/>
        </w:rPr>
        <w:t>Selección por parte del Comité Ejecutivo de la Eurorregión.</w:t>
      </w:r>
    </w:p>
    <w:p w14:paraId="419EE6CF" w14:textId="2014C608" w:rsidR="00BF6D9A" w:rsidRPr="00BF6D9A" w:rsidRDefault="00BF6D9A" w:rsidP="00BF6D9A">
      <w:pPr>
        <w:pStyle w:val="Titre1"/>
        <w:rPr>
          <w:lang w:val="es-ES_tradnl"/>
        </w:rPr>
      </w:pPr>
      <w:bookmarkStart w:id="19" w:name="_Toc94541059"/>
      <w:bookmarkStart w:id="20" w:name="_Toc98435851"/>
      <w:bookmarkStart w:id="21" w:name="_Toc94006609"/>
      <w:r w:rsidRPr="006F213F">
        <w:rPr>
          <w:lang w:val="es-ES_tradnl"/>
        </w:rPr>
        <w:t>Criterios de selección</w:t>
      </w:r>
      <w:bookmarkEnd w:id="19"/>
      <w:bookmarkEnd w:id="20"/>
    </w:p>
    <w:p w14:paraId="08097822" w14:textId="77777777" w:rsidR="00BF6D9A" w:rsidRPr="006F213F" w:rsidRDefault="00BF6D9A" w:rsidP="00BF6D9A">
      <w:pPr>
        <w:rPr>
          <w:lang w:val="es-ES_tradnl"/>
        </w:rPr>
      </w:pPr>
      <w:r w:rsidRPr="006F213F">
        <w:rPr>
          <w:lang w:val="es-ES_tradnl"/>
        </w:rPr>
        <w:t>Los criterios utilizados para la selección de proyectos son los siguientes:</w:t>
      </w:r>
    </w:p>
    <w:tbl>
      <w:tblPr>
        <w:tblStyle w:val="Grilledutableau"/>
        <w:tblW w:w="0" w:type="auto"/>
        <w:tblLook w:val="04A0" w:firstRow="1" w:lastRow="0" w:firstColumn="1" w:lastColumn="0" w:noHBand="0" w:noVBand="1"/>
      </w:tblPr>
      <w:tblGrid>
        <w:gridCol w:w="6658"/>
        <w:gridCol w:w="2404"/>
      </w:tblGrid>
      <w:tr w:rsidR="00BF6D9A" w:rsidRPr="006F213F" w14:paraId="6624BC58" w14:textId="77777777" w:rsidTr="00BF6D9A">
        <w:trPr>
          <w:trHeight w:val="737"/>
        </w:trPr>
        <w:tc>
          <w:tcPr>
            <w:tcW w:w="6658" w:type="dxa"/>
            <w:vAlign w:val="center"/>
          </w:tcPr>
          <w:p w14:paraId="67E6C38B" w14:textId="5C6389FE" w:rsidR="00BF6D9A" w:rsidRPr="006F213F" w:rsidRDefault="00457105" w:rsidP="00BF6D9A">
            <w:pPr>
              <w:jc w:val="left"/>
              <w:rPr>
                <w:lang w:val="es-ES_tradnl"/>
              </w:rPr>
            </w:pPr>
            <w:r>
              <w:rPr>
                <w:lang w:val="es-ES_tradnl"/>
              </w:rPr>
              <w:t>Relevancia</w:t>
            </w:r>
            <w:r w:rsidR="00BF6D9A" w:rsidRPr="006F213F">
              <w:rPr>
                <w:lang w:val="es-ES_tradnl"/>
              </w:rPr>
              <w:t xml:space="preserve"> del </w:t>
            </w:r>
            <w:r w:rsidR="003F780B" w:rsidRPr="006F213F">
              <w:rPr>
                <w:lang w:val="es-ES_tradnl"/>
              </w:rPr>
              <w:t>partenariado</w:t>
            </w:r>
          </w:p>
        </w:tc>
        <w:tc>
          <w:tcPr>
            <w:tcW w:w="2404" w:type="dxa"/>
            <w:vAlign w:val="center"/>
          </w:tcPr>
          <w:p w14:paraId="1AE88AE2" w14:textId="1BCDC313" w:rsidR="00BF6D9A" w:rsidRPr="006F213F" w:rsidRDefault="00BF6D9A" w:rsidP="00BF6D9A">
            <w:pPr>
              <w:jc w:val="center"/>
              <w:rPr>
                <w:lang w:val="es-ES_tradnl"/>
              </w:rPr>
            </w:pPr>
            <w:r w:rsidRPr="006F213F">
              <w:rPr>
                <w:lang w:val="es-ES_tradnl"/>
              </w:rPr>
              <w:t>1</w:t>
            </w:r>
            <w:r w:rsidR="00372179">
              <w:rPr>
                <w:lang w:val="es-ES_tradnl"/>
              </w:rPr>
              <w:t>5</w:t>
            </w:r>
            <w:r w:rsidRPr="006F213F">
              <w:rPr>
                <w:lang w:val="es-ES_tradnl"/>
              </w:rPr>
              <w:t xml:space="preserve"> puntos</w:t>
            </w:r>
          </w:p>
        </w:tc>
      </w:tr>
      <w:tr w:rsidR="00BF6D9A" w:rsidRPr="006F213F" w14:paraId="6C8DE4B2" w14:textId="77777777" w:rsidTr="00BF6D9A">
        <w:trPr>
          <w:trHeight w:val="737"/>
        </w:trPr>
        <w:tc>
          <w:tcPr>
            <w:tcW w:w="6658" w:type="dxa"/>
            <w:vAlign w:val="center"/>
          </w:tcPr>
          <w:p w14:paraId="66D43548" w14:textId="7A5C861C" w:rsidR="00BF6D9A" w:rsidRPr="00910A87" w:rsidRDefault="00490FEE" w:rsidP="00BF6D9A">
            <w:pPr>
              <w:jc w:val="left"/>
              <w:rPr>
                <w:lang w:val="es-ES_tradnl"/>
              </w:rPr>
            </w:pPr>
            <w:r>
              <w:rPr>
                <w:lang w:val="es-ES_tradnl"/>
              </w:rPr>
              <w:t>Carácter</w:t>
            </w:r>
            <w:r w:rsidR="00900FBA" w:rsidRPr="00910A87">
              <w:rPr>
                <w:lang w:val="es-ES_tradnl"/>
              </w:rPr>
              <w:t xml:space="preserve"> innovador</w:t>
            </w:r>
          </w:p>
        </w:tc>
        <w:tc>
          <w:tcPr>
            <w:tcW w:w="2404" w:type="dxa"/>
            <w:vAlign w:val="center"/>
          </w:tcPr>
          <w:p w14:paraId="760D0536" w14:textId="63770BBF" w:rsidR="00BF6D9A" w:rsidRPr="00910A87" w:rsidRDefault="00E73003" w:rsidP="00BF6D9A">
            <w:pPr>
              <w:jc w:val="center"/>
              <w:rPr>
                <w:lang w:val="es-ES_tradnl"/>
              </w:rPr>
            </w:pPr>
            <w:r>
              <w:rPr>
                <w:lang w:val="es-ES_tradnl"/>
              </w:rPr>
              <w:t>2</w:t>
            </w:r>
            <w:r w:rsidR="00372179">
              <w:rPr>
                <w:lang w:val="es-ES_tradnl"/>
              </w:rPr>
              <w:t>0</w:t>
            </w:r>
            <w:r w:rsidR="00BF6D9A" w:rsidRPr="00910A87">
              <w:rPr>
                <w:lang w:val="es-ES_tradnl"/>
              </w:rPr>
              <w:t xml:space="preserve"> puntos</w:t>
            </w:r>
          </w:p>
        </w:tc>
      </w:tr>
      <w:tr w:rsidR="00BF6D9A" w:rsidRPr="006F213F" w14:paraId="0DD404E4" w14:textId="77777777" w:rsidTr="00BF6D9A">
        <w:trPr>
          <w:trHeight w:val="737"/>
        </w:trPr>
        <w:tc>
          <w:tcPr>
            <w:tcW w:w="6658" w:type="dxa"/>
            <w:vAlign w:val="center"/>
          </w:tcPr>
          <w:p w14:paraId="73B0A3D8" w14:textId="1DC5B579" w:rsidR="00BF6D9A" w:rsidRPr="00910A87" w:rsidRDefault="00322737" w:rsidP="00BF6D9A">
            <w:pPr>
              <w:jc w:val="left"/>
              <w:rPr>
                <w:lang w:val="es-ES_tradnl"/>
              </w:rPr>
            </w:pPr>
            <w:r>
              <w:rPr>
                <w:lang w:val="es-ES_tradnl"/>
              </w:rPr>
              <w:t xml:space="preserve">Pertinencia de la </w:t>
            </w:r>
            <w:r w:rsidR="00B855C5">
              <w:rPr>
                <w:lang w:val="es-ES_tradnl"/>
              </w:rPr>
              <w:t xml:space="preserve">temática </w:t>
            </w:r>
            <w:r w:rsidR="00C75D48">
              <w:rPr>
                <w:lang w:val="es-ES_tradnl"/>
              </w:rPr>
              <w:t xml:space="preserve">y </w:t>
            </w:r>
            <w:r w:rsidR="00BF6D9A" w:rsidRPr="00910A87">
              <w:rPr>
                <w:lang w:val="es-ES_tradnl"/>
              </w:rPr>
              <w:t>del plan de acción del proyecto</w:t>
            </w:r>
            <w:r w:rsidR="00490FEE">
              <w:rPr>
                <w:lang w:val="es-ES_tradnl"/>
              </w:rPr>
              <w:t xml:space="preserve"> con respecto al objeto de la convocatoria</w:t>
            </w:r>
            <w:r w:rsidR="00BF6D9A" w:rsidRPr="00910A87">
              <w:rPr>
                <w:lang w:val="es-ES_tradnl"/>
              </w:rPr>
              <w:t>: viabilidad de las acciones, calendario de ejecución y presupuesto</w:t>
            </w:r>
          </w:p>
        </w:tc>
        <w:tc>
          <w:tcPr>
            <w:tcW w:w="2404" w:type="dxa"/>
            <w:vAlign w:val="center"/>
          </w:tcPr>
          <w:p w14:paraId="5A8A7C6B" w14:textId="4C82628E" w:rsidR="00BF6D9A" w:rsidRPr="00910A87" w:rsidRDefault="00E73003" w:rsidP="00BF6D9A">
            <w:pPr>
              <w:jc w:val="center"/>
              <w:rPr>
                <w:lang w:val="es-ES_tradnl"/>
              </w:rPr>
            </w:pPr>
            <w:r>
              <w:rPr>
                <w:lang w:val="es-ES_tradnl"/>
              </w:rPr>
              <w:t>25</w:t>
            </w:r>
            <w:r w:rsidR="00BF6D9A" w:rsidRPr="00910A87">
              <w:rPr>
                <w:lang w:val="es-ES_tradnl"/>
              </w:rPr>
              <w:t xml:space="preserve"> puntos</w:t>
            </w:r>
          </w:p>
        </w:tc>
      </w:tr>
      <w:tr w:rsidR="00BF6D9A" w:rsidRPr="006F213F" w14:paraId="460DD12C" w14:textId="77777777" w:rsidTr="00BF6D9A">
        <w:trPr>
          <w:trHeight w:val="737"/>
        </w:trPr>
        <w:tc>
          <w:tcPr>
            <w:tcW w:w="6658" w:type="dxa"/>
            <w:vAlign w:val="center"/>
          </w:tcPr>
          <w:p w14:paraId="19CC6783" w14:textId="77777777" w:rsidR="00BF6D9A" w:rsidRPr="00910A87" w:rsidRDefault="00BF6D9A" w:rsidP="00BF6D9A">
            <w:pPr>
              <w:jc w:val="left"/>
              <w:rPr>
                <w:lang w:val="es-ES"/>
              </w:rPr>
            </w:pPr>
            <w:r w:rsidRPr="00910A87">
              <w:rPr>
                <w:lang w:val="es-ES"/>
              </w:rPr>
              <w:t xml:space="preserve">Difusión y comunicación en el espacio </w:t>
            </w:r>
            <w:proofErr w:type="spellStart"/>
            <w:r w:rsidRPr="00910A87">
              <w:rPr>
                <w:lang w:val="es-ES"/>
              </w:rPr>
              <w:t>eurorregional</w:t>
            </w:r>
            <w:proofErr w:type="spellEnd"/>
            <w:r w:rsidRPr="00910A87">
              <w:rPr>
                <w:lang w:val="es-ES"/>
              </w:rPr>
              <w:t xml:space="preserve"> </w:t>
            </w:r>
          </w:p>
        </w:tc>
        <w:tc>
          <w:tcPr>
            <w:tcW w:w="2404" w:type="dxa"/>
            <w:vAlign w:val="center"/>
          </w:tcPr>
          <w:p w14:paraId="51ABC768" w14:textId="77777777" w:rsidR="00BF6D9A" w:rsidRPr="00910A87" w:rsidRDefault="00BF6D9A" w:rsidP="00BF6D9A">
            <w:pPr>
              <w:jc w:val="center"/>
              <w:rPr>
                <w:lang w:val="es-ES_tradnl"/>
              </w:rPr>
            </w:pPr>
            <w:r w:rsidRPr="00910A87">
              <w:rPr>
                <w:lang w:val="es-ES_tradnl"/>
              </w:rPr>
              <w:t>10 puntos</w:t>
            </w:r>
          </w:p>
        </w:tc>
      </w:tr>
      <w:tr w:rsidR="00BF6D9A" w:rsidRPr="006F213F" w14:paraId="140565BE" w14:textId="77777777" w:rsidTr="00BF6D9A">
        <w:trPr>
          <w:trHeight w:val="737"/>
        </w:trPr>
        <w:tc>
          <w:tcPr>
            <w:tcW w:w="6658" w:type="dxa"/>
            <w:vAlign w:val="center"/>
          </w:tcPr>
          <w:p w14:paraId="1B1E7082" w14:textId="77777777" w:rsidR="00BF6D9A" w:rsidRPr="00910A87" w:rsidRDefault="00BF6D9A" w:rsidP="00BF6D9A">
            <w:pPr>
              <w:jc w:val="left"/>
              <w:rPr>
                <w:lang w:val="es-ES_tradnl"/>
              </w:rPr>
            </w:pPr>
            <w:r w:rsidRPr="00910A87">
              <w:rPr>
                <w:lang w:val="es-ES_tradnl"/>
              </w:rPr>
              <w:t xml:space="preserve">Dimensión </w:t>
            </w:r>
            <w:proofErr w:type="spellStart"/>
            <w:r w:rsidRPr="00910A87">
              <w:rPr>
                <w:lang w:val="es-ES_tradnl"/>
              </w:rPr>
              <w:t>eurorregional</w:t>
            </w:r>
            <w:proofErr w:type="spellEnd"/>
            <w:r w:rsidRPr="00910A87">
              <w:rPr>
                <w:lang w:val="es-ES_tradnl"/>
              </w:rPr>
              <w:t xml:space="preserve"> del proyecto</w:t>
            </w:r>
          </w:p>
        </w:tc>
        <w:tc>
          <w:tcPr>
            <w:tcW w:w="2404" w:type="dxa"/>
            <w:vAlign w:val="center"/>
          </w:tcPr>
          <w:p w14:paraId="79CEF7CD" w14:textId="33EB080A" w:rsidR="00BF6D9A" w:rsidRPr="00910A87" w:rsidRDefault="00E73003" w:rsidP="00BF6D9A">
            <w:pPr>
              <w:jc w:val="center"/>
              <w:rPr>
                <w:lang w:val="es-ES_tradnl"/>
              </w:rPr>
            </w:pPr>
            <w:r>
              <w:rPr>
                <w:lang w:val="es-ES_tradnl"/>
              </w:rPr>
              <w:t>25</w:t>
            </w:r>
            <w:r w:rsidR="00BF6D9A" w:rsidRPr="00910A87">
              <w:rPr>
                <w:lang w:val="es-ES_tradnl"/>
              </w:rPr>
              <w:t xml:space="preserve"> puntos</w:t>
            </w:r>
          </w:p>
        </w:tc>
      </w:tr>
      <w:tr w:rsidR="000602B5" w:rsidRPr="006F213F" w14:paraId="200CC2DE" w14:textId="77777777" w:rsidTr="00BF6D9A">
        <w:trPr>
          <w:trHeight w:val="737"/>
        </w:trPr>
        <w:tc>
          <w:tcPr>
            <w:tcW w:w="6658" w:type="dxa"/>
            <w:vAlign w:val="center"/>
          </w:tcPr>
          <w:p w14:paraId="146BD2DE" w14:textId="31BC8E55" w:rsidR="000602B5" w:rsidRPr="00910A87" w:rsidRDefault="00E73003" w:rsidP="00BF6D9A">
            <w:pPr>
              <w:jc w:val="left"/>
              <w:rPr>
                <w:lang w:val="es-ES_tradnl"/>
              </w:rPr>
            </w:pPr>
            <w:r>
              <w:rPr>
                <w:lang w:val="es-ES_tradnl"/>
              </w:rPr>
              <w:lastRenderedPageBreak/>
              <w:t>Continuidad en el tiempo</w:t>
            </w:r>
            <w:r w:rsidR="0086214F" w:rsidRPr="00910A87">
              <w:rPr>
                <w:lang w:val="es-ES_tradnl"/>
              </w:rPr>
              <w:t xml:space="preserve"> – Sostenibilidad del proyecto</w:t>
            </w:r>
            <w:r w:rsidR="007D3193">
              <w:rPr>
                <w:lang w:val="es-ES_tradnl"/>
              </w:rPr>
              <w:t xml:space="preserve"> y partenariado</w:t>
            </w:r>
          </w:p>
        </w:tc>
        <w:tc>
          <w:tcPr>
            <w:tcW w:w="2404" w:type="dxa"/>
            <w:vAlign w:val="center"/>
          </w:tcPr>
          <w:p w14:paraId="07854DF7" w14:textId="5626FDCE" w:rsidR="000602B5" w:rsidRPr="00910A87" w:rsidRDefault="0086214F" w:rsidP="00BF6D9A">
            <w:pPr>
              <w:jc w:val="center"/>
              <w:rPr>
                <w:lang w:val="es-ES_tradnl"/>
              </w:rPr>
            </w:pPr>
            <w:r w:rsidRPr="00910A87">
              <w:rPr>
                <w:lang w:val="es-ES_tradnl"/>
              </w:rPr>
              <w:t>5 puntos</w:t>
            </w:r>
          </w:p>
        </w:tc>
      </w:tr>
      <w:tr w:rsidR="00BF6D9A" w:rsidRPr="006F213F" w14:paraId="7912CA27" w14:textId="77777777" w:rsidTr="00BF6D9A">
        <w:tc>
          <w:tcPr>
            <w:tcW w:w="6658" w:type="dxa"/>
            <w:shd w:val="clear" w:color="auto" w:fill="E7E6E6" w:themeFill="background2"/>
          </w:tcPr>
          <w:p w14:paraId="2E1CDDA7" w14:textId="77777777" w:rsidR="00BF6D9A" w:rsidRPr="00BF6D9A" w:rsidRDefault="00BF6D9A" w:rsidP="000469FB">
            <w:pPr>
              <w:rPr>
                <w:i/>
                <w:iCs/>
                <w:lang w:val="es-ES_tradnl"/>
              </w:rPr>
            </w:pPr>
            <w:r w:rsidRPr="00BF6D9A">
              <w:rPr>
                <w:i/>
                <w:iCs/>
                <w:lang w:val="es-ES_tradnl"/>
              </w:rPr>
              <w:t>TOTAL</w:t>
            </w:r>
          </w:p>
        </w:tc>
        <w:tc>
          <w:tcPr>
            <w:tcW w:w="2404" w:type="dxa"/>
            <w:shd w:val="clear" w:color="auto" w:fill="E7E6E6" w:themeFill="background2"/>
            <w:vAlign w:val="center"/>
          </w:tcPr>
          <w:p w14:paraId="247008EA" w14:textId="77777777" w:rsidR="00BF6D9A" w:rsidRPr="00BF6D9A" w:rsidRDefault="00BF6D9A" w:rsidP="00BF6D9A">
            <w:pPr>
              <w:jc w:val="center"/>
              <w:rPr>
                <w:b/>
                <w:bCs/>
                <w:lang w:val="es-ES_tradnl"/>
              </w:rPr>
            </w:pPr>
            <w:r w:rsidRPr="00BF6D9A">
              <w:rPr>
                <w:b/>
                <w:bCs/>
                <w:lang w:val="es-ES_tradnl"/>
              </w:rPr>
              <w:t>100 puntos</w:t>
            </w:r>
          </w:p>
        </w:tc>
      </w:tr>
    </w:tbl>
    <w:p w14:paraId="5897FE44" w14:textId="0C03E862" w:rsidR="00200DD7" w:rsidRPr="00200DD7" w:rsidRDefault="00200DD7" w:rsidP="00200DD7">
      <w:pPr>
        <w:pStyle w:val="Titre1"/>
      </w:pPr>
      <w:bookmarkStart w:id="22" w:name="_Toc94541060"/>
      <w:bookmarkStart w:id="23" w:name="_Toc98435852"/>
      <w:bookmarkEnd w:id="21"/>
      <w:r w:rsidRPr="00200DD7">
        <w:t>Concesión de subvenciones y documentos justificativos</w:t>
      </w:r>
      <w:bookmarkEnd w:id="22"/>
      <w:bookmarkEnd w:id="23"/>
    </w:p>
    <w:p w14:paraId="27E99E60" w14:textId="3D184F45" w:rsidR="00200DD7" w:rsidRPr="00200DD7" w:rsidRDefault="00200DD7" w:rsidP="00200DD7">
      <w:pPr>
        <w:pStyle w:val="Titre2"/>
        <w:numPr>
          <w:ilvl w:val="0"/>
          <w:numId w:val="20"/>
        </w:numPr>
      </w:pPr>
      <w:bookmarkStart w:id="24" w:name="_Toc94541061"/>
      <w:bookmarkStart w:id="25" w:name="_Toc98435853"/>
      <w:r w:rsidRPr="00200DD7">
        <w:t>Concesión de subvenciones</w:t>
      </w:r>
      <w:bookmarkEnd w:id="24"/>
      <w:bookmarkEnd w:id="25"/>
    </w:p>
    <w:p w14:paraId="486D84E4" w14:textId="77777777" w:rsidR="00200DD7" w:rsidRPr="006F213F" w:rsidRDefault="00200DD7" w:rsidP="00200DD7">
      <w:pPr>
        <w:rPr>
          <w:rFonts w:cstheme="minorHAnsi"/>
          <w:lang w:val="es-ES_tradnl"/>
        </w:rPr>
      </w:pPr>
      <w:r w:rsidRPr="006F213F">
        <w:rPr>
          <w:rFonts w:cstheme="minorHAnsi"/>
          <w:lang w:val="es-ES_tradnl"/>
        </w:rPr>
        <w:t xml:space="preserve">Las subvenciones concedidas son ayudas asignadas en el marco de la convocatoria de proyectos de Nueva-Aquitania Euskadi Navarra. Se distribuyen entre los socios de acuerdo con el plan de financiación global de la operación, adoptado por el Comité de la AECT y contemplado en el convenio de concesión de la ayuda. </w:t>
      </w:r>
    </w:p>
    <w:p w14:paraId="2C900BA0" w14:textId="77777777" w:rsidR="00200DD7" w:rsidRPr="006F213F" w:rsidRDefault="00200DD7" w:rsidP="00200DD7">
      <w:pPr>
        <w:rPr>
          <w:rFonts w:cstheme="minorHAnsi"/>
          <w:lang w:val="es-ES_tradnl"/>
        </w:rPr>
      </w:pPr>
      <w:r w:rsidRPr="006F213F">
        <w:t>El Comité Ejecutivo de la Eurorregión se reserva la posibilidad de ajustar la subvención de los proyectos, para que éstas coincidan con el total del presupuesto de la Convocatoria de proyectos, preservando siempre su viabilidad y ejecución, en el límite de 15% de reducción de la subvención solicitada.</w:t>
      </w:r>
    </w:p>
    <w:p w14:paraId="2D1AC913" w14:textId="77777777" w:rsidR="00200DD7" w:rsidRPr="006F213F" w:rsidRDefault="00200DD7" w:rsidP="00200DD7">
      <w:pPr>
        <w:rPr>
          <w:rFonts w:cstheme="minorHAnsi"/>
          <w:lang w:val="es-ES_tradnl"/>
        </w:rPr>
      </w:pPr>
      <w:r w:rsidRPr="006F213F">
        <w:rPr>
          <w:rFonts w:cstheme="minorHAnsi"/>
          <w:lang w:val="es-ES_tradnl"/>
        </w:rPr>
        <w:t>Los pagos de las subvenciones se harán a los jefes de fila (tal y como definido en el Acto de Compromiso) de la siguiente manera:</w:t>
      </w:r>
    </w:p>
    <w:p w14:paraId="77A0B078" w14:textId="15195C57" w:rsidR="00200DD7" w:rsidRPr="006F213F" w:rsidRDefault="00200DD7" w:rsidP="00200DD7">
      <w:pPr>
        <w:pStyle w:val="Paragraphedeliste"/>
        <w:numPr>
          <w:ilvl w:val="0"/>
          <w:numId w:val="11"/>
        </w:numPr>
        <w:jc w:val="both"/>
        <w:rPr>
          <w:rFonts w:ascii="Roboto" w:hAnsi="Roboto" w:cstheme="minorHAnsi"/>
          <w:lang w:val="es-ES_tradnl"/>
        </w:rPr>
      </w:pPr>
      <w:r w:rsidRPr="006F213F">
        <w:rPr>
          <w:rFonts w:ascii="Roboto" w:hAnsi="Roboto" w:cstheme="minorHAnsi"/>
          <w:lang w:val="es-ES_tradnl"/>
        </w:rPr>
        <w:t>40% de la subvención a la firma del convenio entre la AECT y el proyecto</w:t>
      </w:r>
      <w:r w:rsidR="00873123">
        <w:rPr>
          <w:rFonts w:ascii="Roboto" w:hAnsi="Roboto" w:cstheme="minorHAnsi"/>
          <w:lang w:val="es-ES_tradnl"/>
        </w:rPr>
        <w:t>.</w:t>
      </w:r>
    </w:p>
    <w:p w14:paraId="6EBFF7BB" w14:textId="08F8299C" w:rsidR="00200DD7" w:rsidRPr="00200DD7" w:rsidRDefault="00200DD7" w:rsidP="00200DD7">
      <w:pPr>
        <w:pStyle w:val="Paragraphedeliste"/>
        <w:numPr>
          <w:ilvl w:val="0"/>
          <w:numId w:val="11"/>
        </w:numPr>
        <w:jc w:val="both"/>
        <w:rPr>
          <w:rStyle w:val="markedcontent"/>
          <w:rFonts w:ascii="Roboto" w:hAnsi="Roboto" w:cstheme="minorHAnsi"/>
          <w:lang w:val="es-ES_tradnl"/>
        </w:rPr>
      </w:pPr>
      <w:r w:rsidRPr="006F213F">
        <w:rPr>
          <w:rFonts w:ascii="Roboto" w:hAnsi="Roboto" w:cstheme="minorHAnsi"/>
          <w:lang w:val="es-ES_tradnl"/>
        </w:rPr>
        <w:t>El 60% de la subvención al final del proyecto</w:t>
      </w:r>
      <w:r w:rsidR="00873123">
        <w:rPr>
          <w:rFonts w:ascii="Roboto" w:hAnsi="Roboto" w:cstheme="minorHAnsi"/>
          <w:lang w:val="es-ES_tradnl"/>
        </w:rPr>
        <w:t>.</w:t>
      </w:r>
    </w:p>
    <w:p w14:paraId="558FBE83" w14:textId="77777777" w:rsidR="00200DD7" w:rsidRPr="006F213F" w:rsidRDefault="00200DD7" w:rsidP="00200DD7">
      <w:pPr>
        <w:pStyle w:val="Paragraphedeliste"/>
        <w:numPr>
          <w:ilvl w:val="0"/>
          <w:numId w:val="11"/>
        </w:numPr>
        <w:jc w:val="both"/>
        <w:rPr>
          <w:rFonts w:ascii="Roboto" w:hAnsi="Roboto" w:cstheme="minorHAnsi"/>
          <w:lang w:val="es-ES_tradnl"/>
        </w:rPr>
      </w:pPr>
      <w:r w:rsidRPr="006F213F">
        <w:rPr>
          <w:rStyle w:val="markedcontent"/>
          <w:rFonts w:ascii="Roboto" w:hAnsi="Roboto" w:cstheme="minorHAnsi"/>
          <w:lang w:val="es-ES"/>
        </w:rPr>
        <w:t>Si el proyecto subvencionado no se ejecuta en su totalidad, el pago de la subvención</w:t>
      </w:r>
      <w:r w:rsidRPr="006F213F">
        <w:rPr>
          <w:rFonts w:ascii="Roboto" w:hAnsi="Roboto" w:cstheme="minorHAnsi"/>
          <w:lang w:val="es-ES"/>
        </w:rPr>
        <w:t xml:space="preserve"> </w:t>
      </w:r>
      <w:r w:rsidRPr="006F213F">
        <w:rPr>
          <w:rStyle w:val="markedcontent"/>
          <w:rFonts w:ascii="Roboto" w:hAnsi="Roboto" w:cstheme="minorHAnsi"/>
          <w:lang w:val="es-ES"/>
        </w:rPr>
        <w:t>concedida se reducirá en proporción a lo realmente ejecutado y justificado.</w:t>
      </w:r>
    </w:p>
    <w:p w14:paraId="59C68E2E" w14:textId="06590306" w:rsidR="00200DD7" w:rsidRDefault="00200DD7" w:rsidP="00612059">
      <w:pPr>
        <w:rPr>
          <w:rFonts w:cstheme="minorHAnsi"/>
          <w:lang w:val="es-ES_tradnl"/>
        </w:rPr>
      </w:pPr>
      <w:r w:rsidRPr="006F213F">
        <w:rPr>
          <w:rFonts w:cstheme="minorHAnsi"/>
          <w:lang w:val="es-ES_tradnl"/>
        </w:rPr>
        <w:t>El jefe de fila se compromete a transferir la parte de la subvención correspondiente a sus socios de acuerdo con la distribución establecida en el momento de la presentación de la solicitud.</w:t>
      </w:r>
    </w:p>
    <w:p w14:paraId="67489F5B" w14:textId="0B2A8D0C" w:rsidR="00200DD7" w:rsidRPr="00200DD7" w:rsidRDefault="00200DD7" w:rsidP="00200DD7">
      <w:pPr>
        <w:pStyle w:val="Titre2"/>
        <w:rPr>
          <w:lang w:val="es-ES_tradnl"/>
        </w:rPr>
      </w:pPr>
      <w:bookmarkStart w:id="26" w:name="_Toc94541062"/>
      <w:bookmarkStart w:id="27" w:name="_Toc98435854"/>
      <w:r w:rsidRPr="006F213F">
        <w:rPr>
          <w:lang w:val="es-ES_tradnl"/>
        </w:rPr>
        <w:t>Justificación técnica y financiera</w:t>
      </w:r>
      <w:bookmarkEnd w:id="26"/>
      <w:bookmarkEnd w:id="27"/>
    </w:p>
    <w:p w14:paraId="681650AE" w14:textId="77777777" w:rsidR="00200DD7" w:rsidRPr="006F213F" w:rsidRDefault="00200DD7" w:rsidP="00200DD7">
      <w:pPr>
        <w:rPr>
          <w:lang w:val="es-ES_tradnl"/>
        </w:rPr>
      </w:pPr>
      <w:r w:rsidRPr="006F213F">
        <w:rPr>
          <w:lang w:val="es-ES_tradnl"/>
        </w:rPr>
        <w:t>Los beneficiarios de las subvenciones concedidas deberán aportar todos los documentos justificativos que figuran en el convenio, a saber:</w:t>
      </w:r>
    </w:p>
    <w:p w14:paraId="3B220F42" w14:textId="77777777" w:rsidR="00200DD7" w:rsidRPr="006F213F" w:rsidRDefault="00200DD7" w:rsidP="00200DD7">
      <w:pPr>
        <w:pStyle w:val="Paragraphedeliste"/>
        <w:numPr>
          <w:ilvl w:val="0"/>
          <w:numId w:val="11"/>
        </w:numPr>
        <w:jc w:val="both"/>
        <w:rPr>
          <w:rFonts w:ascii="Roboto" w:hAnsi="Roboto"/>
          <w:lang w:val="es-ES_tradnl"/>
        </w:rPr>
      </w:pPr>
      <w:r w:rsidRPr="006F213F">
        <w:rPr>
          <w:rFonts w:ascii="Roboto" w:hAnsi="Roboto"/>
          <w:lang w:val="es-ES_tradnl"/>
        </w:rPr>
        <w:t>Informe técnico según el modelo proporcionado por la AECT, al final del proyecto.</w:t>
      </w:r>
    </w:p>
    <w:p w14:paraId="24B02DF8" w14:textId="77777777" w:rsidR="00200DD7" w:rsidRPr="006F213F" w:rsidRDefault="00200DD7" w:rsidP="00200DD7">
      <w:pPr>
        <w:pStyle w:val="Paragraphedeliste"/>
        <w:numPr>
          <w:ilvl w:val="0"/>
          <w:numId w:val="11"/>
        </w:numPr>
        <w:jc w:val="both"/>
        <w:rPr>
          <w:rFonts w:ascii="Roboto" w:hAnsi="Roboto"/>
          <w:lang w:val="es-ES_tradnl"/>
        </w:rPr>
      </w:pPr>
      <w:r w:rsidRPr="006F213F">
        <w:rPr>
          <w:rFonts w:ascii="Roboto" w:hAnsi="Roboto"/>
          <w:lang w:val="es-ES_tradnl"/>
        </w:rPr>
        <w:t>Informe financiero según el modelo proporcionado por la AECT, al final del proyecto.</w:t>
      </w:r>
    </w:p>
    <w:p w14:paraId="15E05884" w14:textId="77777777" w:rsidR="00200DD7" w:rsidRPr="006F213F" w:rsidRDefault="00200DD7" w:rsidP="00200DD7">
      <w:pPr>
        <w:pStyle w:val="Paragraphedeliste"/>
        <w:numPr>
          <w:ilvl w:val="0"/>
          <w:numId w:val="11"/>
        </w:numPr>
        <w:jc w:val="both"/>
        <w:rPr>
          <w:rFonts w:ascii="Roboto" w:hAnsi="Roboto"/>
          <w:lang w:val="es-ES_tradnl"/>
        </w:rPr>
      </w:pPr>
      <w:r w:rsidRPr="006F213F">
        <w:rPr>
          <w:rFonts w:ascii="Roboto" w:hAnsi="Roboto"/>
          <w:lang w:val="es-ES_tradnl"/>
        </w:rPr>
        <w:t>Formulario de capitalización proporcionado por la AECT al final del proyecto.</w:t>
      </w:r>
    </w:p>
    <w:p w14:paraId="5AB07620" w14:textId="77777777" w:rsidR="00200DD7" w:rsidRPr="006F213F" w:rsidRDefault="00200DD7" w:rsidP="00200DD7">
      <w:pPr>
        <w:rPr>
          <w:lang w:val="es-ES_tradnl"/>
        </w:rPr>
      </w:pPr>
      <w:r w:rsidRPr="006F213F">
        <w:rPr>
          <w:lang w:val="es-ES_tradnl"/>
        </w:rPr>
        <w:t>Todos los documentos deben incluirse, en formato electrónico, en la plataforma proporcionada por la AECT.</w:t>
      </w:r>
    </w:p>
    <w:p w14:paraId="1690484F" w14:textId="4BB52B6D" w:rsidR="00200DD7" w:rsidRPr="006F213F" w:rsidRDefault="00200DD7" w:rsidP="00200DD7">
      <w:pPr>
        <w:rPr>
          <w:lang w:val="es-ES_tradnl"/>
        </w:rPr>
      </w:pPr>
      <w:r w:rsidRPr="006F213F">
        <w:rPr>
          <w:lang w:val="es-ES_tradnl"/>
        </w:rPr>
        <w:lastRenderedPageBreak/>
        <w:t>Los beneficiarios se comprometen, igualmente, a informar trimestralmente de los avances del proyecto.</w:t>
      </w:r>
    </w:p>
    <w:p w14:paraId="53E8B38C" w14:textId="13C2CEDD" w:rsidR="00200DD7" w:rsidRPr="00612059" w:rsidRDefault="00200DD7" w:rsidP="00612059">
      <w:pPr>
        <w:pStyle w:val="Titre1"/>
        <w:rPr>
          <w:lang w:val="es-ES_tradnl"/>
        </w:rPr>
      </w:pPr>
      <w:bookmarkStart w:id="28" w:name="_Toc94541063"/>
      <w:bookmarkStart w:id="29" w:name="_Toc98435855"/>
      <w:r w:rsidRPr="006F213F">
        <w:rPr>
          <w:lang w:val="es-ES_tradnl"/>
        </w:rPr>
        <w:t>Comunicación</w:t>
      </w:r>
      <w:bookmarkEnd w:id="28"/>
      <w:bookmarkEnd w:id="29"/>
    </w:p>
    <w:p w14:paraId="213CE8BD" w14:textId="77777777" w:rsidR="00200DD7" w:rsidRPr="006F213F" w:rsidRDefault="00200DD7" w:rsidP="00200DD7">
      <w:pPr>
        <w:rPr>
          <w:rFonts w:eastAsia="Calibri" w:cstheme="minorHAnsi"/>
          <w:lang w:val="es-ES_tradnl"/>
        </w:rPr>
      </w:pPr>
      <w:r w:rsidRPr="006F213F">
        <w:rPr>
          <w:rFonts w:eastAsia="Calibri" w:cstheme="minorHAnsi"/>
          <w:lang w:val="es-ES_tradnl"/>
        </w:rPr>
        <w:t>Debe respetarse la obligación de publicidad y comunicación de los socios que participan en el proyecto. El jefe de fila y los socios</w:t>
      </w:r>
      <w:r w:rsidRPr="006F213F">
        <w:rPr>
          <w:rFonts w:eastAsia="Calibri" w:cstheme="minorHAnsi"/>
          <w:bCs/>
          <w:lang w:val="es-ES_tradnl"/>
        </w:rPr>
        <w:t xml:space="preserve"> deben</w:t>
      </w:r>
      <w:r w:rsidRPr="006F213F">
        <w:rPr>
          <w:rFonts w:eastAsia="Calibri" w:cstheme="minorHAnsi"/>
          <w:b/>
          <w:lang w:val="es-ES_tradnl"/>
        </w:rPr>
        <w:t xml:space="preserve"> obligatoriamente </w:t>
      </w:r>
      <w:r w:rsidRPr="006F213F">
        <w:rPr>
          <w:rFonts w:eastAsia="Calibri" w:cstheme="minorHAnsi"/>
          <w:lang w:val="es-ES_tradnl"/>
        </w:rPr>
        <w:t xml:space="preserve">incluir los logotipos de la AECT Eurorregión Nueva-Aquitania Euskadi Navarra, así como la mención de la cofinanciación en cualquier documento directamente relacionado con el proyecto (tarjeta de invitación, carta, cartel, página web, folleto, etc.). </w:t>
      </w:r>
    </w:p>
    <w:p w14:paraId="38B95D32" w14:textId="77777777" w:rsidR="00200DD7" w:rsidRPr="006F213F" w:rsidRDefault="00200DD7" w:rsidP="00200DD7">
      <w:pPr>
        <w:rPr>
          <w:rFonts w:eastAsia="Calibri" w:cstheme="minorHAnsi"/>
          <w:lang w:val="es-ES_tradnl"/>
        </w:rPr>
      </w:pPr>
      <w:r w:rsidRPr="006F213F">
        <w:rPr>
          <w:rFonts w:eastAsia="Calibri" w:cstheme="minorHAnsi"/>
          <w:b/>
          <w:lang w:val="es-ES_tradnl"/>
        </w:rPr>
        <w:t xml:space="preserve">Esta obligación se aplica a todos los documentos de información y comunicación sobre el proyecto, </w:t>
      </w:r>
      <w:r w:rsidRPr="006F213F">
        <w:rPr>
          <w:rFonts w:eastAsia="Calibri" w:cstheme="minorHAnsi"/>
          <w:b/>
          <w:u w:val="single"/>
          <w:lang w:val="es-ES_tradnl"/>
        </w:rPr>
        <w:t>a cualquier acto organizado para promocionarlo ante el público, en su lanzamiento o durante su ejecución</w:t>
      </w:r>
      <w:r w:rsidRPr="006F213F">
        <w:rPr>
          <w:rFonts w:eastAsia="Calibri" w:cstheme="minorHAnsi"/>
          <w:lang w:val="es-ES_tradnl"/>
        </w:rPr>
        <w:t xml:space="preserve">: rueda de prensa, seminario, espectáculo, actuación, conferencia, etc. Si procede, el logotipo de la AECT Eurorregión Nueva-Aquitania Euskadi Navarra debe estar presente en el sitio web del jefe de fila y de los socios.  </w:t>
      </w:r>
    </w:p>
    <w:p w14:paraId="3A392C65" w14:textId="77777777" w:rsidR="00200DD7" w:rsidRPr="006F213F" w:rsidRDefault="00200DD7" w:rsidP="00200DD7">
      <w:pPr>
        <w:rPr>
          <w:rFonts w:eastAsia="Calibri" w:cstheme="minorHAnsi"/>
          <w:lang w:val="es-ES_tradnl"/>
        </w:rPr>
      </w:pPr>
      <w:r w:rsidRPr="006F213F">
        <w:rPr>
          <w:rFonts w:eastAsia="Calibri" w:cstheme="minorHAnsi"/>
          <w:lang w:val="es-ES_tradnl"/>
        </w:rPr>
        <w:t>La AECT Eurorregión Nueva-Aquitania Euskadi Navarra debe asociarse a cualquier evento organizado en el marco del proyecto. Debe ser informada de cada evento mediante una invitación escrita en un plazo razonable.</w:t>
      </w:r>
    </w:p>
    <w:p w14:paraId="589B130A" w14:textId="4EFB43F5" w:rsidR="00200DD7" w:rsidRPr="006F213F" w:rsidRDefault="00200DD7" w:rsidP="00200DD7">
      <w:pPr>
        <w:rPr>
          <w:lang w:val="es-ES_tradnl"/>
        </w:rPr>
      </w:pPr>
      <w:r w:rsidRPr="006F213F">
        <w:rPr>
          <w:rFonts w:eastAsia="Calibri" w:cstheme="minorHAnsi"/>
          <w:lang w:val="es-ES_tradnl"/>
        </w:rPr>
        <w:t xml:space="preserve">Al final del proyecto, se podrá pedir al jefe de fila y sus socios que participen en eventos y/o iniciativas de capitalización de la convocatoria de proyectos. </w:t>
      </w:r>
    </w:p>
    <w:p w14:paraId="4D5F879A" w14:textId="528E92EF" w:rsidR="00200DD7" w:rsidRPr="00612059" w:rsidRDefault="00200DD7" w:rsidP="00200DD7">
      <w:pPr>
        <w:pStyle w:val="Titre1"/>
      </w:pPr>
      <w:bookmarkStart w:id="30" w:name="_Toc94541065"/>
      <w:bookmarkStart w:id="31" w:name="_Toc98435856"/>
      <w:r w:rsidRPr="00200DD7">
        <w:t>Información y contacto</w:t>
      </w:r>
      <w:bookmarkEnd w:id="30"/>
      <w:bookmarkEnd w:id="31"/>
    </w:p>
    <w:p w14:paraId="64E1F8B5" w14:textId="6816D78E" w:rsidR="00200DD7" w:rsidRPr="006F213F" w:rsidRDefault="00200DD7" w:rsidP="00200DD7">
      <w:pPr>
        <w:rPr>
          <w:rFonts w:cstheme="minorHAnsi"/>
          <w:shd w:val="clear" w:color="auto" w:fill="FFFFFF"/>
          <w:lang w:val="es-ES_tradnl"/>
        </w:rPr>
      </w:pPr>
      <w:r w:rsidRPr="006F213F">
        <w:rPr>
          <w:rFonts w:cstheme="minorHAnsi"/>
          <w:shd w:val="clear" w:color="auto" w:fill="FFFFFF"/>
          <w:lang w:val="es-ES_tradnl"/>
        </w:rPr>
        <w:t>Los documentos oficiales de la convocatoria de proyectos y otros elementos importantes para la preparación de una candidatura pueden consultarse en el sitio web de la Eurorregión</w:t>
      </w:r>
      <w:r w:rsidRPr="006F213F">
        <w:rPr>
          <w:rFonts w:cstheme="minorHAnsi"/>
          <w:lang w:val="es-ES_tradnl"/>
        </w:rPr>
        <w:br/>
      </w:r>
      <w:hyperlink r:id="rId15" w:history="1">
        <w:r w:rsidRPr="006F213F">
          <w:rPr>
            <w:rStyle w:val="Lienhypertexte"/>
            <w:rFonts w:cstheme="minorHAnsi"/>
            <w:color w:val="auto"/>
            <w:shd w:val="clear" w:color="auto" w:fill="FFFFFF"/>
            <w:lang w:val="es-ES_tradnl"/>
          </w:rPr>
          <w:t>www.euroregion-naen.eu</w:t>
        </w:r>
      </w:hyperlink>
      <w:r w:rsidR="00612059">
        <w:rPr>
          <w:rFonts w:cstheme="minorHAnsi"/>
          <w:shd w:val="clear" w:color="auto" w:fill="FFFFFF"/>
          <w:lang w:val="es-ES_tradnl"/>
        </w:rPr>
        <w:t xml:space="preserve"> : </w:t>
      </w:r>
    </w:p>
    <w:p w14:paraId="4C0F28D2" w14:textId="77777777" w:rsidR="00200DD7" w:rsidRPr="006F213F" w:rsidRDefault="00200DD7" w:rsidP="00200DD7">
      <w:pPr>
        <w:pStyle w:val="Paragraphedeliste"/>
        <w:numPr>
          <w:ilvl w:val="0"/>
          <w:numId w:val="14"/>
        </w:numPr>
        <w:jc w:val="both"/>
        <w:rPr>
          <w:rFonts w:ascii="Roboto" w:hAnsi="Roboto" w:cstheme="minorHAnsi"/>
          <w:shd w:val="clear" w:color="auto" w:fill="FFFFFF"/>
          <w:lang w:val="es-ES_tradnl"/>
        </w:rPr>
      </w:pPr>
      <w:r w:rsidRPr="006F213F">
        <w:rPr>
          <w:rFonts w:ascii="Roboto" w:hAnsi="Roboto" w:cstheme="minorHAnsi"/>
          <w:shd w:val="clear" w:color="auto" w:fill="FFFFFF"/>
          <w:lang w:val="es-ES_tradnl"/>
        </w:rPr>
        <w:t>Plan estratégico de la Eurorregión.</w:t>
      </w:r>
    </w:p>
    <w:p w14:paraId="7C9DDDCC" w14:textId="77777777" w:rsidR="00200DD7" w:rsidRPr="006F213F" w:rsidRDefault="00200DD7" w:rsidP="00200DD7">
      <w:pPr>
        <w:pStyle w:val="Paragraphedeliste"/>
        <w:numPr>
          <w:ilvl w:val="0"/>
          <w:numId w:val="14"/>
        </w:numPr>
        <w:jc w:val="both"/>
        <w:rPr>
          <w:rFonts w:ascii="Roboto" w:hAnsi="Roboto" w:cstheme="minorHAnsi"/>
          <w:shd w:val="clear" w:color="auto" w:fill="FFFFFF"/>
          <w:lang w:val="es-ES_tradnl"/>
        </w:rPr>
      </w:pPr>
      <w:r w:rsidRPr="006F213F">
        <w:rPr>
          <w:rFonts w:ascii="Roboto" w:hAnsi="Roboto" w:cstheme="minorHAnsi"/>
          <w:shd w:val="clear" w:color="auto" w:fill="FFFFFF"/>
          <w:lang w:val="es-ES_tradnl"/>
        </w:rPr>
        <w:t>Guía para los responsables de proyectos.</w:t>
      </w:r>
    </w:p>
    <w:p w14:paraId="4F52CF53" w14:textId="77777777" w:rsidR="00200DD7" w:rsidRPr="006F213F" w:rsidRDefault="00200DD7" w:rsidP="00200DD7">
      <w:pPr>
        <w:pStyle w:val="Paragraphedeliste"/>
        <w:numPr>
          <w:ilvl w:val="0"/>
          <w:numId w:val="14"/>
        </w:numPr>
        <w:jc w:val="both"/>
        <w:rPr>
          <w:rFonts w:ascii="Roboto" w:hAnsi="Roboto" w:cstheme="minorHAnsi"/>
          <w:shd w:val="clear" w:color="auto" w:fill="FFFFFF"/>
          <w:lang w:val="es-ES_tradnl"/>
        </w:rPr>
      </w:pPr>
      <w:r w:rsidRPr="006F213F">
        <w:rPr>
          <w:rFonts w:ascii="Roboto" w:hAnsi="Roboto" w:cstheme="minorHAnsi"/>
          <w:shd w:val="clear" w:color="auto" w:fill="FFFFFF"/>
          <w:lang w:val="es-ES_tradnl"/>
        </w:rPr>
        <w:t>Formularios, documentos, guías y modelos necesarios para completar la candidatura.</w:t>
      </w:r>
    </w:p>
    <w:p w14:paraId="36E87281" w14:textId="77777777" w:rsidR="00200DD7" w:rsidRPr="006F213F" w:rsidRDefault="00200DD7" w:rsidP="00200DD7">
      <w:pPr>
        <w:rPr>
          <w:rFonts w:cstheme="minorHAnsi"/>
          <w:shd w:val="clear" w:color="auto" w:fill="FFFFFF"/>
          <w:lang w:val="es-ES_tradnl"/>
        </w:rPr>
      </w:pPr>
      <w:r w:rsidRPr="006F213F">
        <w:rPr>
          <w:rFonts w:cstheme="minorHAnsi"/>
          <w:shd w:val="clear" w:color="auto" w:fill="FFFFFF"/>
          <w:lang w:val="es-ES_tradnl"/>
        </w:rPr>
        <w:t>La Eurorregión no puede garantizar la validez de documentos descargados de otros sitios web.</w:t>
      </w:r>
    </w:p>
    <w:p w14:paraId="0E7D800E" w14:textId="1829F5B7" w:rsidR="00200DD7" w:rsidRPr="00612059" w:rsidRDefault="00200DD7" w:rsidP="00200DD7">
      <w:pPr>
        <w:rPr>
          <w:rFonts w:cstheme="minorHAnsi"/>
          <w:b/>
          <w:bCs/>
          <w:shd w:val="clear" w:color="auto" w:fill="FFFFFF"/>
          <w:lang w:val="es-ES_tradnl"/>
        </w:rPr>
      </w:pPr>
      <w:r w:rsidRPr="00612059">
        <w:rPr>
          <w:rFonts w:cstheme="minorHAnsi"/>
          <w:b/>
          <w:bCs/>
          <w:shd w:val="clear" w:color="auto" w:fill="FFFFFF"/>
          <w:lang w:val="es-ES_tradnl"/>
        </w:rPr>
        <w:t xml:space="preserve">Puede ponerse en contacto con la persona responsable de la convocatoria de proyectos en la siguiente dirección: </w:t>
      </w:r>
      <w:hyperlink r:id="rId16" w:history="1">
        <w:r w:rsidR="00C1123B" w:rsidRPr="00E9068D">
          <w:rPr>
            <w:rStyle w:val="Lienhypertexte"/>
            <w:rFonts w:cstheme="minorHAnsi"/>
            <w:b/>
            <w:bCs/>
            <w:shd w:val="clear" w:color="auto" w:fill="FFFFFF"/>
            <w:lang w:val="es-ES_tradnl"/>
          </w:rPr>
          <w:t>leyre.azcona@euroregion-naen.eu</w:t>
        </w:r>
      </w:hyperlink>
      <w:r w:rsidR="00612059" w:rsidRPr="00612059">
        <w:rPr>
          <w:rStyle w:val="Lienhypertexte"/>
          <w:rFonts w:cstheme="minorHAnsi"/>
          <w:b/>
          <w:bCs/>
          <w:color w:val="468A6F" w:themeColor="accent2" w:themeShade="80"/>
          <w:shd w:val="clear" w:color="auto" w:fill="FFFFFF"/>
          <w:lang w:val="es-ES_tradnl"/>
        </w:rPr>
        <w:t xml:space="preserve"> </w:t>
      </w:r>
    </w:p>
    <w:p w14:paraId="0CC78C42" w14:textId="77777777" w:rsidR="00DF6DCB" w:rsidRPr="00CF5549" w:rsidRDefault="00DF6DCB" w:rsidP="00DF6DCB"/>
    <w:sectPr w:rsidR="00DF6DCB" w:rsidRPr="00CF5549" w:rsidSect="000022D0">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82B4C" w14:textId="77777777" w:rsidR="007C0D06" w:rsidRDefault="007C0D06" w:rsidP="000977E9">
      <w:pPr>
        <w:spacing w:after="0" w:line="240" w:lineRule="auto"/>
      </w:pPr>
      <w:r>
        <w:separator/>
      </w:r>
    </w:p>
  </w:endnote>
  <w:endnote w:type="continuationSeparator" w:id="0">
    <w:p w14:paraId="09FA3AA2" w14:textId="77777777" w:rsidR="007C0D06" w:rsidRDefault="007C0D06" w:rsidP="000977E9">
      <w:pPr>
        <w:spacing w:after="0" w:line="240" w:lineRule="auto"/>
      </w:pPr>
      <w:r>
        <w:continuationSeparator/>
      </w:r>
    </w:p>
  </w:endnote>
  <w:endnote w:type="continuationNotice" w:id="1">
    <w:p w14:paraId="4DAB7BA7" w14:textId="77777777" w:rsidR="007C0D06" w:rsidRDefault="007C0D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oboto">
    <w:altName w:val="Roboto"/>
    <w:panose1 w:val="00000000000000000000"/>
    <w:charset w:val="00"/>
    <w:family w:val="auto"/>
    <w:pitch w:val="variable"/>
    <w:sig w:usb0="E00002EF" w:usb1="5000205B" w:usb2="00000020" w:usb3="00000000" w:csb0="0000019F" w:csb1="00000000"/>
  </w:font>
  <w:font w:name="Chennai">
    <w:panose1 w:val="02000503000000020003"/>
    <w:charset w:val="00"/>
    <w:family w:val="modern"/>
    <w:notTrueType/>
    <w:pitch w:val="variable"/>
    <w:sig w:usb0="A000002F" w:usb1="4000005B"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CD49F" w14:textId="77777777" w:rsidR="00E44A9C" w:rsidRDefault="00E44A9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E51B7" w14:textId="2A33EE77" w:rsidR="006673B7" w:rsidRDefault="00E44A9C">
    <w:pPr>
      <w:pStyle w:val="Pieddepage"/>
    </w:pPr>
    <w:r>
      <w:rPr>
        <w:noProof/>
        <w:lang w:eastAsia="es-ES"/>
      </w:rPr>
      <w:drawing>
        <wp:anchor distT="0" distB="0" distL="114300" distR="114300" simplePos="0" relativeHeight="251660288" behindDoc="0" locked="0" layoutInCell="1" allowOverlap="1" wp14:anchorId="25502752" wp14:editId="0F013156">
          <wp:simplePos x="0" y="0"/>
          <wp:positionH relativeFrom="column">
            <wp:posOffset>0</wp:posOffset>
          </wp:positionH>
          <wp:positionV relativeFrom="paragraph">
            <wp:posOffset>167640</wp:posOffset>
          </wp:positionV>
          <wp:extent cx="5759450" cy="604520"/>
          <wp:effectExtent l="0" t="0" r="0" b="508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5759450" cy="60452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38ED1" w14:textId="77777777" w:rsidR="00E44A9C" w:rsidRDefault="00E44A9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5308C" w14:textId="77777777" w:rsidR="007C0D06" w:rsidRDefault="007C0D06" w:rsidP="000977E9">
      <w:pPr>
        <w:spacing w:after="0" w:line="240" w:lineRule="auto"/>
      </w:pPr>
      <w:r>
        <w:separator/>
      </w:r>
    </w:p>
  </w:footnote>
  <w:footnote w:type="continuationSeparator" w:id="0">
    <w:p w14:paraId="29631133" w14:textId="77777777" w:rsidR="007C0D06" w:rsidRDefault="007C0D06" w:rsidP="000977E9">
      <w:pPr>
        <w:spacing w:after="0" w:line="240" w:lineRule="auto"/>
      </w:pPr>
      <w:r>
        <w:continuationSeparator/>
      </w:r>
    </w:p>
  </w:footnote>
  <w:footnote w:type="continuationNotice" w:id="1">
    <w:p w14:paraId="4C3196DB" w14:textId="77777777" w:rsidR="007C0D06" w:rsidRDefault="007C0D0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C59D6" w14:textId="77777777" w:rsidR="00E44A9C" w:rsidRDefault="00E44A9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E6536" w14:textId="6FAAF827" w:rsidR="006673B7" w:rsidRDefault="006673B7">
    <w:pPr>
      <w:pStyle w:val="En-tte"/>
    </w:pPr>
    <w:r>
      <w:rPr>
        <w:noProof/>
        <w:lang w:eastAsia="es-ES"/>
      </w:rPr>
      <w:drawing>
        <wp:anchor distT="0" distB="0" distL="114300" distR="114300" simplePos="0" relativeHeight="251658240" behindDoc="0" locked="0" layoutInCell="1" allowOverlap="1" wp14:anchorId="0CFED912" wp14:editId="50DBE741">
          <wp:simplePos x="0" y="0"/>
          <wp:positionH relativeFrom="margin">
            <wp:posOffset>-605790</wp:posOffset>
          </wp:positionH>
          <wp:positionV relativeFrom="paragraph">
            <wp:posOffset>-219075</wp:posOffset>
          </wp:positionV>
          <wp:extent cx="6527800" cy="909955"/>
          <wp:effectExtent l="0" t="0" r="6350" b="4445"/>
          <wp:wrapTopAndBottom/>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6527800" cy="90995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37D1B" w14:textId="77777777" w:rsidR="00E44A9C" w:rsidRDefault="00E44A9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006E9"/>
    <w:multiLevelType w:val="hybridMultilevel"/>
    <w:tmpl w:val="B13CD852"/>
    <w:lvl w:ilvl="0" w:tplc="3D34427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8A6C24"/>
    <w:multiLevelType w:val="multilevel"/>
    <w:tmpl w:val="E39450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B360CEC"/>
    <w:multiLevelType w:val="hybridMultilevel"/>
    <w:tmpl w:val="C49AE002"/>
    <w:lvl w:ilvl="0" w:tplc="040C000D">
      <w:start w:val="1"/>
      <w:numFmt w:val="bullet"/>
      <w:lvlText w:val=""/>
      <w:lvlJc w:val="left"/>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F5957C9"/>
    <w:multiLevelType w:val="hybridMultilevel"/>
    <w:tmpl w:val="F8C098D8"/>
    <w:lvl w:ilvl="0" w:tplc="040C000D">
      <w:start w:val="1"/>
      <w:numFmt w:val="bullet"/>
      <w:lvlText w:val=""/>
      <w:lvlJc w:val="left"/>
      <w:rPr>
        <w:rFonts w:ascii="Wingdings" w:hAnsi="Wingding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4871658"/>
    <w:multiLevelType w:val="hybridMultilevel"/>
    <w:tmpl w:val="22AA57A2"/>
    <w:lvl w:ilvl="0" w:tplc="3D34427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7D30A91"/>
    <w:multiLevelType w:val="hybridMultilevel"/>
    <w:tmpl w:val="79F2C01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94206C9"/>
    <w:multiLevelType w:val="hybridMultilevel"/>
    <w:tmpl w:val="09AA3146"/>
    <w:lvl w:ilvl="0" w:tplc="3D34427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F881F16"/>
    <w:multiLevelType w:val="hybridMultilevel"/>
    <w:tmpl w:val="A0CE8F7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09800A5"/>
    <w:multiLevelType w:val="hybridMultilevel"/>
    <w:tmpl w:val="B75E2108"/>
    <w:lvl w:ilvl="0" w:tplc="3D34427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8A95B56"/>
    <w:multiLevelType w:val="hybridMultilevel"/>
    <w:tmpl w:val="DC82F82A"/>
    <w:lvl w:ilvl="0" w:tplc="247854CE">
      <w:start w:val="1"/>
      <w:numFmt w:val="decimal"/>
      <w:pStyle w:val="Titre1"/>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50800FE0"/>
    <w:multiLevelType w:val="hybridMultilevel"/>
    <w:tmpl w:val="6D3045DC"/>
    <w:lvl w:ilvl="0" w:tplc="3D34427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1C8275A"/>
    <w:multiLevelType w:val="hybridMultilevel"/>
    <w:tmpl w:val="B582B64C"/>
    <w:lvl w:ilvl="0" w:tplc="3D34427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E9B389E"/>
    <w:multiLevelType w:val="hybridMultilevel"/>
    <w:tmpl w:val="6C5EEA9C"/>
    <w:lvl w:ilvl="0" w:tplc="059A4BA8">
      <w:start w:val="1"/>
      <w:numFmt w:val="bullet"/>
      <w:lvlText w:val=""/>
      <w:lvlJc w:val="left"/>
      <w:pPr>
        <w:ind w:left="720" w:hanging="360"/>
      </w:pPr>
      <w:rPr>
        <w:rFonts w:ascii="Symbol" w:hAnsi="Symbol" w:hint="default"/>
        <w:color w:val="479F8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625367BC"/>
    <w:multiLevelType w:val="hybridMultilevel"/>
    <w:tmpl w:val="13E0C932"/>
    <w:lvl w:ilvl="0" w:tplc="32CAB6C0">
      <w:start w:val="1"/>
      <w:numFmt w:val="bullet"/>
      <w:lvlText w:val=""/>
      <w:lvlJc w:val="left"/>
      <w:pPr>
        <w:ind w:left="720" w:hanging="360"/>
      </w:pPr>
      <w:rPr>
        <w:rFonts w:ascii="Symbol" w:hAnsi="Symbol" w:hint="default"/>
        <w:color w:val="468A6F" w:themeColor="accent2" w:themeShade="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84D2CD7"/>
    <w:multiLevelType w:val="hybridMultilevel"/>
    <w:tmpl w:val="40A8E8F0"/>
    <w:lvl w:ilvl="0" w:tplc="DF7E6DC4">
      <w:start w:val="1"/>
      <w:numFmt w:val="lowerLetter"/>
      <w:pStyle w:val="Titre2"/>
      <w:lvlText w:val="%1."/>
      <w:lvlJc w:val="left"/>
      <w:pPr>
        <w:ind w:left="1776" w:hanging="360"/>
      </w:p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num w:numId="1" w16cid:durableId="2110001809">
    <w:abstractNumId w:val="9"/>
  </w:num>
  <w:num w:numId="2" w16cid:durableId="2116553240">
    <w:abstractNumId w:val="14"/>
  </w:num>
  <w:num w:numId="3" w16cid:durableId="1660838869">
    <w:abstractNumId w:val="13"/>
  </w:num>
  <w:num w:numId="4" w16cid:durableId="1839075958">
    <w:abstractNumId w:val="12"/>
  </w:num>
  <w:num w:numId="5" w16cid:durableId="1733917650">
    <w:abstractNumId w:val="8"/>
  </w:num>
  <w:num w:numId="6" w16cid:durableId="454713962">
    <w:abstractNumId w:val="0"/>
  </w:num>
  <w:num w:numId="7" w16cid:durableId="1336760781">
    <w:abstractNumId w:val="1"/>
  </w:num>
  <w:num w:numId="8" w16cid:durableId="1845630697">
    <w:abstractNumId w:val="4"/>
  </w:num>
  <w:num w:numId="9" w16cid:durableId="1968655006">
    <w:abstractNumId w:val="7"/>
  </w:num>
  <w:num w:numId="10" w16cid:durableId="1750805536">
    <w:abstractNumId w:val="6"/>
  </w:num>
  <w:num w:numId="11" w16cid:durableId="22824911">
    <w:abstractNumId w:val="10"/>
  </w:num>
  <w:num w:numId="12" w16cid:durableId="1156411146">
    <w:abstractNumId w:val="3"/>
  </w:num>
  <w:num w:numId="13" w16cid:durableId="1917741286">
    <w:abstractNumId w:val="5"/>
  </w:num>
  <w:num w:numId="14" w16cid:durableId="727385120">
    <w:abstractNumId w:val="11"/>
  </w:num>
  <w:num w:numId="15" w16cid:durableId="1895240789">
    <w:abstractNumId w:val="2"/>
  </w:num>
  <w:num w:numId="16" w16cid:durableId="1401830484">
    <w:abstractNumId w:val="14"/>
    <w:lvlOverride w:ilvl="0">
      <w:startOverride w:val="1"/>
    </w:lvlOverride>
  </w:num>
  <w:num w:numId="17" w16cid:durableId="1949701000">
    <w:abstractNumId w:val="14"/>
    <w:lvlOverride w:ilvl="0">
      <w:startOverride w:val="1"/>
    </w:lvlOverride>
  </w:num>
  <w:num w:numId="18" w16cid:durableId="207845045">
    <w:abstractNumId w:val="14"/>
    <w:lvlOverride w:ilvl="0">
      <w:startOverride w:val="1"/>
    </w:lvlOverride>
  </w:num>
  <w:num w:numId="19" w16cid:durableId="236211707">
    <w:abstractNumId w:val="9"/>
    <w:lvlOverride w:ilvl="0">
      <w:startOverride w:val="1"/>
    </w:lvlOverride>
  </w:num>
  <w:num w:numId="20" w16cid:durableId="1415976952">
    <w:abstractNumId w:val="14"/>
    <w:lvlOverride w:ilvl="0">
      <w:startOverride w:val="1"/>
    </w:lvlOverride>
  </w:num>
  <w:num w:numId="21" w16cid:durableId="1497962183">
    <w:abstractNumId w:val="1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51EE"/>
    <w:rsid w:val="000022D0"/>
    <w:rsid w:val="000051EE"/>
    <w:rsid w:val="00006E7C"/>
    <w:rsid w:val="00016C24"/>
    <w:rsid w:val="00021106"/>
    <w:rsid w:val="00022D4C"/>
    <w:rsid w:val="00035DA0"/>
    <w:rsid w:val="000422D2"/>
    <w:rsid w:val="0004266E"/>
    <w:rsid w:val="000602B5"/>
    <w:rsid w:val="000977E9"/>
    <w:rsid w:val="000B7E10"/>
    <w:rsid w:val="000C1139"/>
    <w:rsid w:val="000C5C45"/>
    <w:rsid w:val="000F273C"/>
    <w:rsid w:val="00122CDC"/>
    <w:rsid w:val="00123D8B"/>
    <w:rsid w:val="00146780"/>
    <w:rsid w:val="0016053B"/>
    <w:rsid w:val="00184885"/>
    <w:rsid w:val="00186B3F"/>
    <w:rsid w:val="001C3EBF"/>
    <w:rsid w:val="001D1862"/>
    <w:rsid w:val="001D54DA"/>
    <w:rsid w:val="00200DD7"/>
    <w:rsid w:val="00207F43"/>
    <w:rsid w:val="002307BD"/>
    <w:rsid w:val="00251C75"/>
    <w:rsid w:val="00256DFA"/>
    <w:rsid w:val="0027016F"/>
    <w:rsid w:val="0027363E"/>
    <w:rsid w:val="00277BF7"/>
    <w:rsid w:val="0028183C"/>
    <w:rsid w:val="002D4F94"/>
    <w:rsid w:val="002D5C65"/>
    <w:rsid w:val="002E3B5B"/>
    <w:rsid w:val="002E7786"/>
    <w:rsid w:val="002F2C60"/>
    <w:rsid w:val="0031363D"/>
    <w:rsid w:val="00322737"/>
    <w:rsid w:val="00323061"/>
    <w:rsid w:val="00335F10"/>
    <w:rsid w:val="0034643C"/>
    <w:rsid w:val="00350BF1"/>
    <w:rsid w:val="003629C5"/>
    <w:rsid w:val="003631E3"/>
    <w:rsid w:val="00364E5D"/>
    <w:rsid w:val="00372179"/>
    <w:rsid w:val="00385AA6"/>
    <w:rsid w:val="00385FC9"/>
    <w:rsid w:val="003C4579"/>
    <w:rsid w:val="003E6228"/>
    <w:rsid w:val="003E6C16"/>
    <w:rsid w:val="003F2061"/>
    <w:rsid w:val="003F780B"/>
    <w:rsid w:val="0040041B"/>
    <w:rsid w:val="0040297E"/>
    <w:rsid w:val="00415439"/>
    <w:rsid w:val="004238D8"/>
    <w:rsid w:val="00450396"/>
    <w:rsid w:val="00457105"/>
    <w:rsid w:val="00490FEE"/>
    <w:rsid w:val="00491321"/>
    <w:rsid w:val="00496AF7"/>
    <w:rsid w:val="004F4B9A"/>
    <w:rsid w:val="00531F96"/>
    <w:rsid w:val="00555544"/>
    <w:rsid w:val="005A142A"/>
    <w:rsid w:val="005A441B"/>
    <w:rsid w:val="005A4EC5"/>
    <w:rsid w:val="005E0773"/>
    <w:rsid w:val="005F4DE1"/>
    <w:rsid w:val="00612059"/>
    <w:rsid w:val="00616FFD"/>
    <w:rsid w:val="00653372"/>
    <w:rsid w:val="00653C67"/>
    <w:rsid w:val="00661422"/>
    <w:rsid w:val="006673B7"/>
    <w:rsid w:val="00682E96"/>
    <w:rsid w:val="00687E8C"/>
    <w:rsid w:val="00690A91"/>
    <w:rsid w:val="006940C2"/>
    <w:rsid w:val="00695C47"/>
    <w:rsid w:val="006B69EF"/>
    <w:rsid w:val="006D58D4"/>
    <w:rsid w:val="006E5643"/>
    <w:rsid w:val="006E6D86"/>
    <w:rsid w:val="006E6DFF"/>
    <w:rsid w:val="006F1F54"/>
    <w:rsid w:val="006F7D75"/>
    <w:rsid w:val="0070073B"/>
    <w:rsid w:val="00702F53"/>
    <w:rsid w:val="00710B26"/>
    <w:rsid w:val="007273F9"/>
    <w:rsid w:val="00754570"/>
    <w:rsid w:val="00767007"/>
    <w:rsid w:val="00772E70"/>
    <w:rsid w:val="00792E0D"/>
    <w:rsid w:val="00795AB0"/>
    <w:rsid w:val="00795F7C"/>
    <w:rsid w:val="007B5405"/>
    <w:rsid w:val="007C0D06"/>
    <w:rsid w:val="007D0F2F"/>
    <w:rsid w:val="007D3193"/>
    <w:rsid w:val="00855F55"/>
    <w:rsid w:val="008563FB"/>
    <w:rsid w:val="0086214F"/>
    <w:rsid w:val="00873123"/>
    <w:rsid w:val="008D26F7"/>
    <w:rsid w:val="008D5296"/>
    <w:rsid w:val="008D639C"/>
    <w:rsid w:val="009002E2"/>
    <w:rsid w:val="00900FBA"/>
    <w:rsid w:val="0090446C"/>
    <w:rsid w:val="00910A87"/>
    <w:rsid w:val="00932BEA"/>
    <w:rsid w:val="00950BD4"/>
    <w:rsid w:val="0096479E"/>
    <w:rsid w:val="009674EA"/>
    <w:rsid w:val="00970138"/>
    <w:rsid w:val="009742E2"/>
    <w:rsid w:val="00977EB7"/>
    <w:rsid w:val="00993B00"/>
    <w:rsid w:val="009A205A"/>
    <w:rsid w:val="009B67B8"/>
    <w:rsid w:val="009C1468"/>
    <w:rsid w:val="009D587D"/>
    <w:rsid w:val="009E25D6"/>
    <w:rsid w:val="00A17F65"/>
    <w:rsid w:val="00A308EA"/>
    <w:rsid w:val="00A42E66"/>
    <w:rsid w:val="00A53CA3"/>
    <w:rsid w:val="00A54C47"/>
    <w:rsid w:val="00A70866"/>
    <w:rsid w:val="00A91427"/>
    <w:rsid w:val="00A96FDD"/>
    <w:rsid w:val="00AA13BB"/>
    <w:rsid w:val="00AB6621"/>
    <w:rsid w:val="00AC0509"/>
    <w:rsid w:val="00AC4D7B"/>
    <w:rsid w:val="00AC60A2"/>
    <w:rsid w:val="00AC6C00"/>
    <w:rsid w:val="00AE6EB2"/>
    <w:rsid w:val="00AF0992"/>
    <w:rsid w:val="00B075AF"/>
    <w:rsid w:val="00B24659"/>
    <w:rsid w:val="00B426D6"/>
    <w:rsid w:val="00B74AA1"/>
    <w:rsid w:val="00B77262"/>
    <w:rsid w:val="00B855C5"/>
    <w:rsid w:val="00B95C3F"/>
    <w:rsid w:val="00BC6640"/>
    <w:rsid w:val="00BF6D9A"/>
    <w:rsid w:val="00C06241"/>
    <w:rsid w:val="00C1123B"/>
    <w:rsid w:val="00C21DFC"/>
    <w:rsid w:val="00C32548"/>
    <w:rsid w:val="00C3299F"/>
    <w:rsid w:val="00C3491D"/>
    <w:rsid w:val="00C42B9A"/>
    <w:rsid w:val="00C45068"/>
    <w:rsid w:val="00C613BA"/>
    <w:rsid w:val="00C75D48"/>
    <w:rsid w:val="00C83BB5"/>
    <w:rsid w:val="00CA1312"/>
    <w:rsid w:val="00CC1B41"/>
    <w:rsid w:val="00CC4F9C"/>
    <w:rsid w:val="00CF17E9"/>
    <w:rsid w:val="00CF5549"/>
    <w:rsid w:val="00D03765"/>
    <w:rsid w:val="00D05C53"/>
    <w:rsid w:val="00D16DDE"/>
    <w:rsid w:val="00D1747E"/>
    <w:rsid w:val="00D25041"/>
    <w:rsid w:val="00D642D0"/>
    <w:rsid w:val="00D81C5F"/>
    <w:rsid w:val="00DB4749"/>
    <w:rsid w:val="00DF6DCB"/>
    <w:rsid w:val="00E00EE9"/>
    <w:rsid w:val="00E44A9C"/>
    <w:rsid w:val="00E45EA1"/>
    <w:rsid w:val="00E62859"/>
    <w:rsid w:val="00E73003"/>
    <w:rsid w:val="00E775E7"/>
    <w:rsid w:val="00EA53D1"/>
    <w:rsid w:val="00EB55B1"/>
    <w:rsid w:val="00EE2F23"/>
    <w:rsid w:val="00EF235F"/>
    <w:rsid w:val="00F440A4"/>
    <w:rsid w:val="00F72B40"/>
    <w:rsid w:val="00F85067"/>
    <w:rsid w:val="00FA2FF6"/>
    <w:rsid w:val="00FB266B"/>
    <w:rsid w:val="00FB34B2"/>
    <w:rsid w:val="00FB7F5E"/>
    <w:rsid w:val="00FC1F55"/>
    <w:rsid w:val="00FC6BDE"/>
    <w:rsid w:val="00FF598C"/>
    <w:rsid w:val="00FF783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357797"/>
  <w15:chartTrackingRefBased/>
  <w15:docId w15:val="{DF2C1593-3D0C-47E0-A210-B50D983A2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51EE"/>
    <w:pPr>
      <w:jc w:val="both"/>
    </w:pPr>
    <w:rPr>
      <w:rFonts w:ascii="Roboto" w:hAnsi="Roboto"/>
    </w:rPr>
  </w:style>
  <w:style w:type="paragraph" w:styleId="Titre1">
    <w:name w:val="heading 1"/>
    <w:basedOn w:val="Normal"/>
    <w:next w:val="Normal"/>
    <w:link w:val="Titre1Car"/>
    <w:uiPriority w:val="9"/>
    <w:qFormat/>
    <w:rsid w:val="00035DA0"/>
    <w:pPr>
      <w:keepNext/>
      <w:keepLines/>
      <w:numPr>
        <w:numId w:val="1"/>
      </w:numPr>
      <w:spacing w:before="600" w:after="240"/>
      <w:outlineLvl w:val="0"/>
    </w:pPr>
    <w:rPr>
      <w:rFonts w:eastAsiaTheme="majorEastAsia" w:cstheme="majorBidi"/>
      <w:b/>
      <w:caps/>
      <w:color w:val="479F84"/>
      <w:sz w:val="40"/>
      <w:szCs w:val="32"/>
    </w:rPr>
  </w:style>
  <w:style w:type="paragraph" w:styleId="Titre2">
    <w:name w:val="heading 2"/>
    <w:basedOn w:val="Normal"/>
    <w:next w:val="Normal"/>
    <w:link w:val="Titre2Car"/>
    <w:uiPriority w:val="9"/>
    <w:unhideWhenUsed/>
    <w:qFormat/>
    <w:rsid w:val="006673B7"/>
    <w:pPr>
      <w:keepNext/>
      <w:keepLines/>
      <w:numPr>
        <w:numId w:val="2"/>
      </w:numPr>
      <w:spacing w:before="120" w:after="240"/>
      <w:ind w:left="1775" w:hanging="357"/>
      <w:outlineLvl w:val="1"/>
    </w:pPr>
    <w:rPr>
      <w:rFonts w:ascii="Chennai" w:eastAsiaTheme="majorEastAsia" w:hAnsi="Chennai" w:cstheme="majorBidi"/>
      <w:b/>
      <w:caps/>
      <w:color w:val="103952"/>
      <w:sz w:val="26"/>
      <w:szCs w:val="26"/>
      <w14:textOutline w14:w="12700" w14:cap="rnd" w14:cmpd="sng" w14:algn="ctr">
        <w14:solidFill>
          <w14:srgbClr w14:val="103952"/>
        </w14:solidFill>
        <w14:prstDash w14:val="solid"/>
        <w14:bevel/>
      </w14:textOutline>
    </w:rPr>
  </w:style>
  <w:style w:type="paragraph" w:styleId="Titre3">
    <w:name w:val="heading 3"/>
    <w:basedOn w:val="Normal"/>
    <w:next w:val="Normal"/>
    <w:link w:val="Titre3Car"/>
    <w:uiPriority w:val="9"/>
    <w:semiHidden/>
    <w:unhideWhenUsed/>
    <w:qFormat/>
    <w:rsid w:val="000051EE"/>
    <w:pPr>
      <w:keepNext/>
      <w:keepLines/>
      <w:spacing w:before="40" w:after="0"/>
      <w:outlineLvl w:val="2"/>
    </w:pPr>
    <w:rPr>
      <w:rFonts w:asciiTheme="majorHAnsi" w:eastAsiaTheme="majorEastAsia" w:hAnsiTheme="majorHAnsi" w:cstheme="majorBidi"/>
      <w:color w:val="1A343A"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6673B7"/>
    <w:pPr>
      <w:pBdr>
        <w:right w:val="single" w:sz="4" w:space="10" w:color="auto"/>
      </w:pBdr>
      <w:spacing w:before="360" w:after="240" w:line="216" w:lineRule="auto"/>
      <w:ind w:left="1985"/>
      <w:jc w:val="right"/>
    </w:pPr>
    <w:rPr>
      <w:rFonts w:eastAsiaTheme="majorEastAsia" w:cstheme="majorBidi"/>
      <w:b/>
      <w:caps/>
      <w:spacing w:val="-10"/>
      <w:kern w:val="28"/>
      <w:sz w:val="56"/>
      <w:szCs w:val="56"/>
    </w:rPr>
  </w:style>
  <w:style w:type="character" w:customStyle="1" w:styleId="TitreCar">
    <w:name w:val="Titre Car"/>
    <w:basedOn w:val="Policepardfaut"/>
    <w:link w:val="Titre"/>
    <w:uiPriority w:val="10"/>
    <w:rsid w:val="006673B7"/>
    <w:rPr>
      <w:rFonts w:ascii="Roboto" w:eastAsiaTheme="majorEastAsia" w:hAnsi="Roboto" w:cstheme="majorBidi"/>
      <w:b/>
      <w:caps/>
      <w:spacing w:val="-10"/>
      <w:kern w:val="28"/>
      <w:sz w:val="56"/>
      <w:szCs w:val="56"/>
    </w:rPr>
  </w:style>
  <w:style w:type="character" w:customStyle="1" w:styleId="Titre2Car">
    <w:name w:val="Titre 2 Car"/>
    <w:basedOn w:val="Policepardfaut"/>
    <w:link w:val="Titre2"/>
    <w:uiPriority w:val="9"/>
    <w:rsid w:val="006673B7"/>
    <w:rPr>
      <w:rFonts w:ascii="Chennai" w:eastAsiaTheme="majorEastAsia" w:hAnsi="Chennai" w:cstheme="majorBidi"/>
      <w:b/>
      <w:caps/>
      <w:color w:val="103952"/>
      <w:sz w:val="26"/>
      <w:szCs w:val="26"/>
      <w14:textOutline w14:w="12700" w14:cap="rnd" w14:cmpd="sng" w14:algn="ctr">
        <w14:solidFill>
          <w14:srgbClr w14:val="103952"/>
        </w14:solidFill>
        <w14:prstDash w14:val="solid"/>
        <w14:bevel/>
      </w14:textOutline>
    </w:rPr>
  </w:style>
  <w:style w:type="character" w:customStyle="1" w:styleId="Titre1Car">
    <w:name w:val="Titre 1 Car"/>
    <w:basedOn w:val="Policepardfaut"/>
    <w:link w:val="Titre1"/>
    <w:uiPriority w:val="9"/>
    <w:rsid w:val="00035DA0"/>
    <w:rPr>
      <w:rFonts w:ascii="Roboto" w:eastAsiaTheme="majorEastAsia" w:hAnsi="Roboto" w:cstheme="majorBidi"/>
      <w:b/>
      <w:caps/>
      <w:color w:val="479F84"/>
      <w:sz w:val="40"/>
      <w:szCs w:val="32"/>
    </w:rPr>
  </w:style>
  <w:style w:type="paragraph" w:customStyle="1" w:styleId="Euroeskualdea">
    <w:name w:val="Euroeskualdea"/>
    <w:basedOn w:val="Titre1"/>
    <w:link w:val="EuroeskualdeaCar"/>
    <w:rsid w:val="000051EE"/>
  </w:style>
  <w:style w:type="character" w:customStyle="1" w:styleId="Titre3Car">
    <w:name w:val="Titre 3 Car"/>
    <w:basedOn w:val="Policepardfaut"/>
    <w:link w:val="Titre3"/>
    <w:uiPriority w:val="9"/>
    <w:semiHidden/>
    <w:rsid w:val="000051EE"/>
    <w:rPr>
      <w:rFonts w:asciiTheme="majorHAnsi" w:eastAsiaTheme="majorEastAsia" w:hAnsiTheme="majorHAnsi" w:cstheme="majorBidi"/>
      <w:color w:val="1A343A" w:themeColor="accent1" w:themeShade="7F"/>
      <w:sz w:val="24"/>
      <w:szCs w:val="24"/>
    </w:rPr>
  </w:style>
  <w:style w:type="character" w:customStyle="1" w:styleId="EuroeskualdeaCar">
    <w:name w:val="Euroeskualdea Car"/>
    <w:basedOn w:val="Titre1Car"/>
    <w:link w:val="Euroeskualdea"/>
    <w:rsid w:val="000051EE"/>
    <w:rPr>
      <w:rFonts w:ascii="Roboto" w:eastAsiaTheme="majorEastAsia" w:hAnsi="Roboto" w:cstheme="majorBidi"/>
      <w:b/>
      <w:caps/>
      <w:color w:val="479F84"/>
      <w:sz w:val="40"/>
      <w:szCs w:val="32"/>
    </w:rPr>
  </w:style>
  <w:style w:type="paragraph" w:styleId="En-tte">
    <w:name w:val="header"/>
    <w:basedOn w:val="Normal"/>
    <w:link w:val="En-tteCar"/>
    <w:uiPriority w:val="99"/>
    <w:unhideWhenUsed/>
    <w:rsid w:val="000977E9"/>
    <w:pPr>
      <w:tabs>
        <w:tab w:val="center" w:pos="4536"/>
        <w:tab w:val="right" w:pos="9072"/>
      </w:tabs>
      <w:spacing w:after="0" w:line="240" w:lineRule="auto"/>
    </w:pPr>
  </w:style>
  <w:style w:type="character" w:customStyle="1" w:styleId="En-tteCar">
    <w:name w:val="En-tête Car"/>
    <w:basedOn w:val="Policepardfaut"/>
    <w:link w:val="En-tte"/>
    <w:uiPriority w:val="99"/>
    <w:rsid w:val="000977E9"/>
    <w:rPr>
      <w:rFonts w:ascii="Roboto" w:hAnsi="Roboto"/>
    </w:rPr>
  </w:style>
  <w:style w:type="paragraph" w:styleId="Pieddepage">
    <w:name w:val="footer"/>
    <w:basedOn w:val="Normal"/>
    <w:link w:val="PieddepageCar"/>
    <w:uiPriority w:val="99"/>
    <w:unhideWhenUsed/>
    <w:rsid w:val="000977E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977E9"/>
    <w:rPr>
      <w:rFonts w:ascii="Roboto" w:hAnsi="Roboto"/>
    </w:rPr>
  </w:style>
  <w:style w:type="paragraph" w:styleId="Sous-titre">
    <w:name w:val="Subtitle"/>
    <w:basedOn w:val="Normal"/>
    <w:next w:val="Normal"/>
    <w:link w:val="Sous-titreCar"/>
    <w:uiPriority w:val="11"/>
    <w:qFormat/>
    <w:rsid w:val="006673B7"/>
    <w:pPr>
      <w:numPr>
        <w:ilvl w:val="1"/>
      </w:numPr>
      <w:spacing w:after="600" w:line="240" w:lineRule="auto"/>
      <w:jc w:val="right"/>
    </w:pPr>
    <w:rPr>
      <w:rFonts w:eastAsiaTheme="minorEastAsia"/>
      <w:b/>
      <w:bCs/>
      <w:i/>
      <w:iCs/>
      <w:caps/>
      <w:color w:val="7F7F7F" w:themeColor="text1" w:themeTint="80"/>
      <w:spacing w:val="15"/>
      <w:sz w:val="36"/>
      <w:szCs w:val="36"/>
    </w:rPr>
  </w:style>
  <w:style w:type="character" w:customStyle="1" w:styleId="Sous-titreCar">
    <w:name w:val="Sous-titre Car"/>
    <w:basedOn w:val="Policepardfaut"/>
    <w:link w:val="Sous-titre"/>
    <w:uiPriority w:val="11"/>
    <w:rsid w:val="006673B7"/>
    <w:rPr>
      <w:rFonts w:ascii="Roboto" w:eastAsiaTheme="minorEastAsia" w:hAnsi="Roboto"/>
      <w:b/>
      <w:bCs/>
      <w:i/>
      <w:iCs/>
      <w:caps/>
      <w:color w:val="7F7F7F" w:themeColor="text1" w:themeTint="80"/>
      <w:spacing w:val="15"/>
      <w:sz w:val="36"/>
      <w:szCs w:val="36"/>
    </w:rPr>
  </w:style>
  <w:style w:type="paragraph" w:customStyle="1" w:styleId="Default">
    <w:name w:val="Default"/>
    <w:rsid w:val="006673B7"/>
    <w:pPr>
      <w:autoSpaceDE w:val="0"/>
      <w:autoSpaceDN w:val="0"/>
      <w:adjustRightInd w:val="0"/>
      <w:spacing w:after="0" w:line="240" w:lineRule="auto"/>
    </w:pPr>
    <w:rPr>
      <w:rFonts w:ascii="Arial" w:hAnsi="Arial" w:cs="Arial"/>
      <w:color w:val="000000"/>
      <w:sz w:val="24"/>
      <w:szCs w:val="24"/>
      <w:lang w:val="fr-FR"/>
    </w:rPr>
  </w:style>
  <w:style w:type="paragraph" w:styleId="NormalWeb">
    <w:name w:val="Normal (Web)"/>
    <w:basedOn w:val="Normal"/>
    <w:uiPriority w:val="99"/>
    <w:semiHidden/>
    <w:unhideWhenUsed/>
    <w:rsid w:val="006673B7"/>
    <w:pPr>
      <w:spacing w:before="100" w:beforeAutospacing="1" w:after="100" w:afterAutospacing="1" w:line="240" w:lineRule="auto"/>
      <w:jc w:val="left"/>
    </w:pPr>
    <w:rPr>
      <w:rFonts w:ascii="Times New Roman" w:eastAsia="Times New Roman" w:hAnsi="Times New Roman" w:cs="Times New Roman"/>
      <w:sz w:val="24"/>
      <w:szCs w:val="24"/>
      <w:lang w:val="fr-FR" w:eastAsia="fr-FR"/>
    </w:rPr>
  </w:style>
  <w:style w:type="character" w:customStyle="1" w:styleId="markedcontent">
    <w:name w:val="markedcontent"/>
    <w:basedOn w:val="Policepardfaut"/>
    <w:rsid w:val="00FC1F55"/>
  </w:style>
  <w:style w:type="character" w:styleId="Lienhypertexte">
    <w:name w:val="Hyperlink"/>
    <w:basedOn w:val="Policepardfaut"/>
    <w:uiPriority w:val="99"/>
    <w:unhideWhenUsed/>
    <w:rsid w:val="009B67B8"/>
    <w:rPr>
      <w:color w:val="56AD95" w:themeColor="hyperlink"/>
      <w:u w:val="single"/>
    </w:rPr>
  </w:style>
  <w:style w:type="paragraph" w:styleId="Paragraphedeliste">
    <w:name w:val="List Paragraph"/>
    <w:basedOn w:val="Normal"/>
    <w:uiPriority w:val="34"/>
    <w:qFormat/>
    <w:rsid w:val="006B69EF"/>
    <w:pPr>
      <w:ind w:left="720"/>
      <w:contextualSpacing/>
      <w:jc w:val="left"/>
    </w:pPr>
    <w:rPr>
      <w:rFonts w:asciiTheme="minorHAnsi" w:hAnsiTheme="minorHAnsi"/>
      <w:lang w:val="fr-FR"/>
    </w:rPr>
  </w:style>
  <w:style w:type="paragraph" w:styleId="En-ttedetabledesmatires">
    <w:name w:val="TOC Heading"/>
    <w:basedOn w:val="Titre1"/>
    <w:next w:val="Normal"/>
    <w:uiPriority w:val="39"/>
    <w:unhideWhenUsed/>
    <w:qFormat/>
    <w:rsid w:val="00256DFA"/>
    <w:pPr>
      <w:numPr>
        <w:numId w:val="0"/>
      </w:numPr>
      <w:spacing w:before="240" w:after="0"/>
      <w:jc w:val="left"/>
      <w:outlineLvl w:val="9"/>
    </w:pPr>
    <w:rPr>
      <w:rFonts w:asciiTheme="majorHAnsi" w:hAnsiTheme="majorHAnsi"/>
      <w:b w:val="0"/>
      <w:caps w:val="0"/>
      <w:color w:val="284F58" w:themeColor="accent1" w:themeShade="BF"/>
      <w:sz w:val="32"/>
      <w:lang w:eastAsia="es-ES"/>
    </w:rPr>
  </w:style>
  <w:style w:type="paragraph" w:styleId="TM1">
    <w:name w:val="toc 1"/>
    <w:basedOn w:val="Normal"/>
    <w:next w:val="Normal"/>
    <w:autoRedefine/>
    <w:uiPriority w:val="39"/>
    <w:unhideWhenUsed/>
    <w:rsid w:val="00256DFA"/>
    <w:pPr>
      <w:spacing w:after="100"/>
    </w:pPr>
  </w:style>
  <w:style w:type="table" w:styleId="Grilledutableau">
    <w:name w:val="Table Grid"/>
    <w:basedOn w:val="TableauNormal"/>
    <w:uiPriority w:val="39"/>
    <w:rsid w:val="00035DA0"/>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uiPriority w:val="39"/>
    <w:unhideWhenUsed/>
    <w:rsid w:val="003F2061"/>
    <w:pPr>
      <w:spacing w:after="100"/>
      <w:ind w:left="220"/>
    </w:pPr>
  </w:style>
  <w:style w:type="paragraph" w:styleId="Citation">
    <w:name w:val="Quote"/>
    <w:basedOn w:val="Normal"/>
    <w:next w:val="Normal"/>
    <w:link w:val="CitationCar"/>
    <w:uiPriority w:val="29"/>
    <w:qFormat/>
    <w:rsid w:val="006E6DFF"/>
    <w:pPr>
      <w:pBdr>
        <w:top w:val="single" w:sz="4" w:space="30" w:color="E7E6E6" w:themeColor="background2"/>
        <w:left w:val="single" w:sz="4" w:space="20" w:color="E7E6E6" w:themeColor="background2"/>
        <w:bottom w:val="single" w:sz="4" w:space="30" w:color="E7E6E6" w:themeColor="background2"/>
        <w:right w:val="single" w:sz="4" w:space="20" w:color="E7E6E6" w:themeColor="background2"/>
      </w:pBdr>
      <w:shd w:val="clear" w:color="auto" w:fill="E7E6E6" w:themeFill="background2"/>
    </w:pPr>
  </w:style>
  <w:style w:type="character" w:customStyle="1" w:styleId="CitationCar">
    <w:name w:val="Citation Car"/>
    <w:basedOn w:val="Policepardfaut"/>
    <w:link w:val="Citation"/>
    <w:uiPriority w:val="29"/>
    <w:rsid w:val="006E6DFF"/>
    <w:rPr>
      <w:rFonts w:ascii="Roboto" w:hAnsi="Roboto"/>
      <w:shd w:val="clear" w:color="auto" w:fill="E7E6E6" w:themeFill="background2"/>
    </w:rPr>
  </w:style>
  <w:style w:type="character" w:customStyle="1" w:styleId="Mentionnonrsolue1">
    <w:name w:val="Mention non résolue1"/>
    <w:basedOn w:val="Policepardfaut"/>
    <w:uiPriority w:val="99"/>
    <w:semiHidden/>
    <w:unhideWhenUsed/>
    <w:rsid w:val="002E7786"/>
    <w:rPr>
      <w:color w:val="605E5C"/>
      <w:shd w:val="clear" w:color="auto" w:fill="E1DFDD"/>
    </w:rPr>
  </w:style>
  <w:style w:type="character" w:styleId="Lienhypertextesuivivisit">
    <w:name w:val="FollowedHyperlink"/>
    <w:basedOn w:val="Policepardfaut"/>
    <w:uiPriority w:val="99"/>
    <w:semiHidden/>
    <w:unhideWhenUsed/>
    <w:rsid w:val="000B7E10"/>
    <w:rPr>
      <w:color w:val="954F72" w:themeColor="followedHyperlink"/>
      <w:u w:val="single"/>
    </w:rPr>
  </w:style>
  <w:style w:type="character" w:styleId="Marquedecommentaire">
    <w:name w:val="annotation reference"/>
    <w:basedOn w:val="Policepardfaut"/>
    <w:uiPriority w:val="99"/>
    <w:semiHidden/>
    <w:unhideWhenUsed/>
    <w:rsid w:val="0096479E"/>
    <w:rPr>
      <w:sz w:val="16"/>
      <w:szCs w:val="16"/>
    </w:rPr>
  </w:style>
  <w:style w:type="paragraph" w:styleId="Commentaire">
    <w:name w:val="annotation text"/>
    <w:basedOn w:val="Normal"/>
    <w:link w:val="CommentaireCar"/>
    <w:uiPriority w:val="99"/>
    <w:semiHidden/>
    <w:unhideWhenUsed/>
    <w:rsid w:val="0096479E"/>
    <w:pPr>
      <w:spacing w:line="240" w:lineRule="auto"/>
    </w:pPr>
    <w:rPr>
      <w:sz w:val="20"/>
      <w:szCs w:val="20"/>
    </w:rPr>
  </w:style>
  <w:style w:type="character" w:customStyle="1" w:styleId="CommentaireCar">
    <w:name w:val="Commentaire Car"/>
    <w:basedOn w:val="Policepardfaut"/>
    <w:link w:val="Commentaire"/>
    <w:uiPriority w:val="99"/>
    <w:semiHidden/>
    <w:rsid w:val="0096479E"/>
    <w:rPr>
      <w:rFonts w:ascii="Roboto" w:hAnsi="Roboto"/>
      <w:sz w:val="20"/>
      <w:szCs w:val="20"/>
    </w:rPr>
  </w:style>
  <w:style w:type="paragraph" w:styleId="Objetducommentaire">
    <w:name w:val="annotation subject"/>
    <w:basedOn w:val="Commentaire"/>
    <w:next w:val="Commentaire"/>
    <w:link w:val="ObjetducommentaireCar"/>
    <w:uiPriority w:val="99"/>
    <w:semiHidden/>
    <w:unhideWhenUsed/>
    <w:rsid w:val="0096479E"/>
    <w:rPr>
      <w:b/>
      <w:bCs/>
    </w:rPr>
  </w:style>
  <w:style w:type="character" w:customStyle="1" w:styleId="ObjetducommentaireCar">
    <w:name w:val="Objet du commentaire Car"/>
    <w:basedOn w:val="CommentaireCar"/>
    <w:link w:val="Objetducommentaire"/>
    <w:uiPriority w:val="99"/>
    <w:semiHidden/>
    <w:rsid w:val="0096479E"/>
    <w:rPr>
      <w:rFonts w:ascii="Roboto" w:hAnsi="Roboto"/>
      <w:b/>
      <w:bCs/>
      <w:sz w:val="20"/>
      <w:szCs w:val="20"/>
    </w:rPr>
  </w:style>
  <w:style w:type="paragraph" w:styleId="Textedebulles">
    <w:name w:val="Balloon Text"/>
    <w:basedOn w:val="Normal"/>
    <w:link w:val="TextedebullesCar"/>
    <w:uiPriority w:val="99"/>
    <w:semiHidden/>
    <w:unhideWhenUsed/>
    <w:rsid w:val="0096479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6479E"/>
    <w:rPr>
      <w:rFonts w:ascii="Segoe UI" w:hAnsi="Segoe UI" w:cs="Segoe UI"/>
      <w:sz w:val="18"/>
      <w:szCs w:val="18"/>
    </w:rPr>
  </w:style>
  <w:style w:type="paragraph" w:styleId="Rvision">
    <w:name w:val="Revision"/>
    <w:hidden/>
    <w:uiPriority w:val="99"/>
    <w:semiHidden/>
    <w:rsid w:val="00146780"/>
    <w:pPr>
      <w:spacing w:after="0" w:line="240" w:lineRule="auto"/>
    </w:pPr>
    <w:rPr>
      <w:rFonts w:ascii="Roboto" w:hAnsi="Robo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1.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ww.euroregion-naen.eu/wp-content/uploads/2021/10/PS_ESP_site_es.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leyre.azcona@euroregion-naen.e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euroregion-naen.eu"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uroregion-naen.eu"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pieChart>
        <c:varyColors val="1"/>
        <c:ser>
          <c:idx val="0"/>
          <c:order val="0"/>
          <c:tx>
            <c:strRef>
              <c:f>Feuil1!$B$1</c:f>
              <c:strCache>
                <c:ptCount val="1"/>
                <c:pt idx="0">
                  <c:v>Budget</c:v>
                </c:pt>
              </c:strCache>
            </c:strRef>
          </c:tx>
          <c:explosion val="2"/>
          <c:dPt>
            <c:idx val="0"/>
            <c:bubble3D val="0"/>
            <c:spPr>
              <a:solidFill>
                <a:schemeClr val="accent1">
                  <a:shade val="65000"/>
                </a:schemeClr>
              </a:solidFill>
              <a:ln w="19050">
                <a:solidFill>
                  <a:schemeClr val="lt1"/>
                </a:solidFill>
              </a:ln>
              <a:effectLst/>
            </c:spPr>
            <c:extLst>
              <c:ext xmlns:c16="http://schemas.microsoft.com/office/drawing/2014/chart" uri="{C3380CC4-5D6E-409C-BE32-E72D297353CC}">
                <c16:uniqueId val="{00000001-DD32-4C93-8B6A-9750DF590A8A}"/>
              </c:ext>
            </c:extLst>
          </c:dPt>
          <c:dPt>
            <c:idx val="1"/>
            <c:bubble3D val="0"/>
            <c:spPr>
              <a:solidFill>
                <a:schemeClr val="accent1"/>
              </a:solidFill>
              <a:ln w="19050">
                <a:solidFill>
                  <a:schemeClr val="lt1"/>
                </a:solidFill>
              </a:ln>
              <a:effectLst/>
            </c:spPr>
            <c:extLst>
              <c:ext xmlns:c16="http://schemas.microsoft.com/office/drawing/2014/chart" uri="{C3380CC4-5D6E-409C-BE32-E72D297353CC}">
                <c16:uniqueId val="{00000003-DD32-4C93-8B6A-9750DF590A8A}"/>
              </c:ext>
            </c:extLst>
          </c:dPt>
          <c:dPt>
            <c:idx val="2"/>
            <c:bubble3D val="0"/>
            <c:spPr>
              <a:solidFill>
                <a:schemeClr val="accent1">
                  <a:tint val="65000"/>
                </a:schemeClr>
              </a:solidFill>
              <a:ln w="19050">
                <a:solidFill>
                  <a:schemeClr val="lt1"/>
                </a:solidFill>
              </a:ln>
              <a:effectLst/>
            </c:spPr>
            <c:extLst>
              <c:ext xmlns:c16="http://schemas.microsoft.com/office/drawing/2014/chart" uri="{C3380CC4-5D6E-409C-BE32-E72D297353CC}">
                <c16:uniqueId val="{00000005-DD32-4C93-8B6A-9750DF590A8A}"/>
              </c:ext>
            </c:extLst>
          </c:dPt>
          <c:dLbls>
            <c:dLbl>
              <c:idx val="0"/>
              <c:layout>
                <c:manualLayout>
                  <c:x val="-0.17817533246757516"/>
                  <c:y val="3.5790980672870437E-3"/>
                </c:manualLayout>
              </c:layout>
              <c:tx>
                <c:rich>
                  <a:bodyPr/>
                  <a:lstStyle/>
                  <a:p>
                    <a:r>
                      <a:rPr lang="en-US">
                        <a:solidFill>
                          <a:schemeClr val="bg1"/>
                        </a:solidFill>
                      </a:rPr>
                      <a:t>Subvencion maximal</a:t>
                    </a:r>
                    <a:r>
                      <a:rPr lang="en-US" baseline="0"/>
                      <a:t>
</a:t>
                    </a:r>
                    <a:fld id="{20FACEDC-FFAA-43DF-8966-D138E28CA3E4}" type="PERCENTAGE">
                      <a:rPr lang="en-US" b="1" baseline="0">
                        <a:solidFill>
                          <a:schemeClr val="bg1"/>
                        </a:solidFill>
                      </a:rPr>
                      <a:pPr/>
                      <a:t>[POURCENTAGE]</a:t>
                    </a:fld>
                    <a:endParaRPr lang="en-US" baseline="0"/>
                  </a:p>
                </c:rich>
              </c:tx>
              <c:dLblPos val="bestFit"/>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DD32-4C93-8B6A-9750DF590A8A}"/>
                </c:ext>
              </c:extLst>
            </c:dLbl>
            <c:dLbl>
              <c:idx val="1"/>
              <c:layout>
                <c:manualLayout>
                  <c:x val="0.13001709598408753"/>
                  <c:y val="-0.17185081642890565"/>
                </c:manualLayout>
              </c:layout>
              <c:tx>
                <c:rich>
                  <a:bodyPr/>
                  <a:lstStyle/>
                  <a:p>
                    <a:r>
                      <a:rPr lang="en-US">
                        <a:solidFill>
                          <a:schemeClr val="bg1"/>
                        </a:solidFill>
                      </a:rPr>
                      <a:t>Autofinanciacion</a:t>
                    </a:r>
                    <a:r>
                      <a:rPr lang="en-US" baseline="0">
                        <a:solidFill>
                          <a:schemeClr val="bg1"/>
                        </a:solidFill>
                      </a:rPr>
                      <a:t>
</a:t>
                    </a:r>
                    <a:fld id="{34CB4D97-D300-4D3E-9B50-3D82809215C2}" type="PERCENTAGE">
                      <a:rPr lang="en-US" b="1" baseline="0">
                        <a:solidFill>
                          <a:schemeClr val="bg1"/>
                        </a:solidFill>
                      </a:rPr>
                      <a:pPr/>
                      <a:t>[POURCENTAGE]</a:t>
                    </a:fld>
                    <a:endParaRPr lang="en-US" baseline="0">
                      <a:solidFill>
                        <a:schemeClr val="bg1"/>
                      </a:solidFill>
                    </a:endParaRPr>
                  </a:p>
                </c:rich>
              </c:tx>
              <c:dLblPos val="bestFit"/>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DD32-4C93-8B6A-9750DF590A8A}"/>
                </c:ext>
              </c:extLst>
            </c:dLbl>
            <c:dLbl>
              <c:idx val="2"/>
              <c:layout>
                <c:manualLayout>
                  <c:x val="0.13604622491082136"/>
                  <c:y val="0.14348745061126483"/>
                </c:manualLayout>
              </c:layout>
              <c:tx>
                <c:rich>
                  <a:bodyPr/>
                  <a:lstStyle/>
                  <a:p>
                    <a:r>
                      <a:rPr lang="en-US" sz="1050" baseline="0"/>
                      <a:t>Otro
</a:t>
                    </a:r>
                    <a:fld id="{C0000825-B898-49D6-8D18-94D0297C0BF9}" type="PERCENTAGE">
                      <a:rPr lang="en-US" sz="1050" b="1" baseline="0"/>
                      <a:pPr/>
                      <a:t>[POURCENTAGE]</a:t>
                    </a:fld>
                    <a:endParaRPr lang="en-US" sz="1050" baseline="0"/>
                  </a:p>
                </c:rich>
              </c:tx>
              <c:dLblPos val="bestFit"/>
              <c:showLegendKey val="0"/>
              <c:showVal val="0"/>
              <c:showCatName val="1"/>
              <c:showSerName val="0"/>
              <c:showPercent val="1"/>
              <c:showBubbleSize val="0"/>
              <c:extLst>
                <c:ext xmlns:c15="http://schemas.microsoft.com/office/drawing/2012/chart" uri="{CE6537A1-D6FC-4f65-9D91-7224C49458BB}">
                  <c15:layout>
                    <c:manualLayout>
                      <c:w val="8.7046011211020333E-2"/>
                      <c:h val="0.13815318539727986"/>
                    </c:manualLayout>
                  </c15:layout>
                  <c15:dlblFieldTable/>
                  <c15:showDataLabelsRange val="0"/>
                </c:ext>
                <c:ext xmlns:c16="http://schemas.microsoft.com/office/drawing/2014/chart" uri="{C3380CC4-5D6E-409C-BE32-E72D297353CC}">
                  <c16:uniqueId val="{00000005-DD32-4C93-8B6A-9750DF590A8A}"/>
                </c:ext>
              </c:extLst>
            </c:dLbl>
            <c:spPr>
              <a:noFill/>
              <a:ln>
                <a:noFill/>
              </a:ln>
              <a:effectLst/>
            </c:spPr>
            <c:txPr>
              <a:bodyPr rot="0" spcFirstLastPara="1" vertOverflow="ellipsis" vert="horz" wrap="square" anchor="ctr" anchorCtr="1"/>
              <a:lstStyle/>
              <a:p>
                <a:pPr>
                  <a:defRPr sz="1050" b="0" i="0" u="none" strike="noStrike" kern="1200" baseline="0">
                    <a:solidFill>
                      <a:sysClr val="windowText" lastClr="000000"/>
                    </a:solidFill>
                    <a:latin typeface="Roboto" pitchFamily="2" charset="0"/>
                    <a:ea typeface="Roboto" pitchFamily="2" charset="0"/>
                    <a:cs typeface="+mn-cs"/>
                  </a:defRPr>
                </a:pPr>
                <a:endParaRPr lang="es-ES"/>
              </a:p>
            </c:txPr>
            <c:dLblPos val="in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Feuil1!$A$2:$A$4</c:f>
              <c:strCache>
                <c:ptCount val="3"/>
                <c:pt idx="0">
                  <c:v>Subvención máxima</c:v>
                </c:pt>
                <c:pt idx="1">
                  <c:v>Autofinanciación mínima </c:v>
                </c:pt>
                <c:pt idx="2">
                  <c:v>Otras fuentes de financiación 
(subvenciones públicas o privadas, 
Ingresos, patrocinios, entradas, etc.)
</c:v>
                </c:pt>
              </c:strCache>
            </c:strRef>
          </c:cat>
          <c:val>
            <c:numRef>
              <c:f>Feuil1!$B$2:$B$4</c:f>
              <c:numCache>
                <c:formatCode>General</c:formatCode>
                <c:ptCount val="3"/>
                <c:pt idx="0">
                  <c:v>50</c:v>
                </c:pt>
                <c:pt idx="1">
                  <c:v>20</c:v>
                </c:pt>
                <c:pt idx="2">
                  <c:v>30</c:v>
                </c:pt>
              </c:numCache>
            </c:numRef>
          </c:val>
          <c:extLst>
            <c:ext xmlns:c16="http://schemas.microsoft.com/office/drawing/2014/chart" uri="{C3380CC4-5D6E-409C-BE32-E72D297353CC}">
              <c16:uniqueId val="{00000006-DD32-4C93-8B6A-9750DF590A8A}"/>
            </c:ext>
          </c:extLst>
        </c:ser>
        <c:dLbls>
          <c:dLblPos val="inEnd"/>
          <c:showLegendKey val="0"/>
          <c:showVal val="0"/>
          <c:showCatName val="1"/>
          <c:showSerName val="0"/>
          <c:showPercent val="1"/>
          <c:showBubbleSize val="0"/>
          <c:showLeaderLines val="1"/>
        </c:dLbls>
        <c:firstSliceAng val="0"/>
      </c:pieChart>
      <c:spPr>
        <a:noFill/>
        <a:ln>
          <a:noFill/>
        </a:ln>
        <a:effectLst/>
      </c:spPr>
    </c:plotArea>
    <c:legend>
      <c:legendPos val="b"/>
      <c:layout>
        <c:manualLayout>
          <c:xMode val="edge"/>
          <c:yMode val="edge"/>
          <c:x val="0.05"/>
          <c:y val="0.84224801176875086"/>
          <c:w val="0.9292275574112735"/>
          <c:h val="0.1577519882312492"/>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Roboto" pitchFamily="2" charset="0"/>
              <a:ea typeface="Roboto" pitchFamily="2" charset="0"/>
              <a:cs typeface="+mn-cs"/>
            </a:defRPr>
          </a:pPr>
          <a:endParaRPr lang="es-E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solidFill>
            <a:sysClr val="windowText" lastClr="000000"/>
          </a:solidFill>
        </a:defRPr>
      </a:pPr>
      <a:endParaRPr lang="es-ES"/>
    </a:p>
  </c:txPr>
  <c:externalData r:id="rId3">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hème Office">
  <a:themeElements>
    <a:clrScheme name="Euroregion">
      <a:dk1>
        <a:sysClr val="windowText" lastClr="000000"/>
      </a:dk1>
      <a:lt1>
        <a:sysClr val="window" lastClr="FFFFFF"/>
      </a:lt1>
      <a:dk2>
        <a:srgbClr val="0C4144"/>
      </a:dk2>
      <a:lt2>
        <a:srgbClr val="E7E6E6"/>
      </a:lt2>
      <a:accent1>
        <a:srgbClr val="366A76"/>
      </a:accent1>
      <a:accent2>
        <a:srgbClr val="C2E0D4"/>
      </a:accent2>
      <a:accent3>
        <a:srgbClr val="5F9C97"/>
      </a:accent3>
      <a:accent4>
        <a:srgbClr val="529198"/>
      </a:accent4>
      <a:accent5>
        <a:srgbClr val="275F5A"/>
      </a:accent5>
      <a:accent6>
        <a:srgbClr val="082C2E"/>
      </a:accent6>
      <a:hlink>
        <a:srgbClr val="56AD95"/>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B570FC4676DE54F832BD8D5FADDF570" ma:contentTypeVersion="16" ma:contentTypeDescription="Crée un document." ma:contentTypeScope="" ma:versionID="60333de139d1970dc12f1aef941ae895">
  <xsd:schema xmlns:xsd="http://www.w3.org/2001/XMLSchema" xmlns:xs="http://www.w3.org/2001/XMLSchema" xmlns:p="http://schemas.microsoft.com/office/2006/metadata/properties" xmlns:ns2="3f43fb22-5fa1-45fd-a48b-026082faaca4" xmlns:ns3="7cd6869e-a4c4-4bb7-ad21-273e3183c2c9" targetNamespace="http://schemas.microsoft.com/office/2006/metadata/properties" ma:root="true" ma:fieldsID="d3346769e5b3d6b534870f6e79376156" ns2:_="" ns3:_="">
    <xsd:import namespace="3f43fb22-5fa1-45fd-a48b-026082faaca4"/>
    <xsd:import namespace="7cd6869e-a4c4-4bb7-ad21-273e3183c2c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3fb22-5fa1-45fd-a48b-026082faac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d90e82f-44eb-4e47-b742-b6f684c0d66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cd6869e-a4c4-4bb7-ad21-273e3183c2c9"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3b0e45f-baf9-4eb6-b168-418160f039ed}" ma:internalName="TaxCatchAll" ma:showField="CatchAllData" ma:web="7cd6869e-a4c4-4bb7-ad21-273e3183c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cd6869e-a4c4-4bb7-ad21-273e3183c2c9" xsi:nil="true"/>
    <lcf76f155ced4ddcb4097134ff3c332f xmlns="3f43fb22-5fa1-45fd-a48b-026082faaca4">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7C6942-4704-4A9A-A27E-289A63521B53}">
  <ds:schemaRefs>
    <ds:schemaRef ds:uri="http://schemas.openxmlformats.org/officeDocument/2006/bibliography"/>
  </ds:schemaRefs>
</ds:datastoreItem>
</file>

<file path=customXml/itemProps2.xml><?xml version="1.0" encoding="utf-8"?>
<ds:datastoreItem xmlns:ds="http://schemas.openxmlformats.org/officeDocument/2006/customXml" ds:itemID="{B5E76CB6-1CE2-4A0F-BC55-EA1DF5AA5D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3fb22-5fa1-45fd-a48b-026082faaca4"/>
    <ds:schemaRef ds:uri="7cd6869e-a4c4-4bb7-ad21-273e3183c2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3847D0-3E07-43BA-AAD0-DDF7E349D661}">
  <ds:schemaRefs>
    <ds:schemaRef ds:uri="http://schemas.microsoft.com/office/2006/metadata/properties"/>
    <ds:schemaRef ds:uri="http://schemas.microsoft.com/office/infopath/2007/PartnerControls"/>
    <ds:schemaRef ds:uri="7cd6869e-a4c4-4bb7-ad21-273e3183c2c9"/>
    <ds:schemaRef ds:uri="3f43fb22-5fa1-45fd-a48b-026082faaca4"/>
  </ds:schemaRefs>
</ds:datastoreItem>
</file>

<file path=customXml/itemProps4.xml><?xml version="1.0" encoding="utf-8"?>
<ds:datastoreItem xmlns:ds="http://schemas.openxmlformats.org/officeDocument/2006/customXml" ds:itemID="{91468C69-B8F4-4E66-AB80-E83C72CD25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10</Pages>
  <Words>2350</Words>
  <Characters>12926</Characters>
  <Application>Microsoft Office Word</Application>
  <DocSecurity>0</DocSecurity>
  <Lines>107</Lines>
  <Paragraphs>30</Paragraphs>
  <ScaleCrop>false</ScaleCrop>
  <HeadingPairs>
    <vt:vector size="4" baseType="variant">
      <vt:variant>
        <vt:lpstr>Título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15246</CharactersWithSpaces>
  <SharedDoc>false</SharedDoc>
  <HLinks>
    <vt:vector size="120" baseType="variant">
      <vt:variant>
        <vt:i4>4063319</vt:i4>
      </vt:variant>
      <vt:variant>
        <vt:i4>108</vt:i4>
      </vt:variant>
      <vt:variant>
        <vt:i4>0</vt:i4>
      </vt:variant>
      <vt:variant>
        <vt:i4>5</vt:i4>
      </vt:variant>
      <vt:variant>
        <vt:lpwstr>mailto:marie.heguy-urain@euroregion-naen.eu</vt:lpwstr>
      </vt:variant>
      <vt:variant>
        <vt:lpwstr/>
      </vt:variant>
      <vt:variant>
        <vt:i4>3014776</vt:i4>
      </vt:variant>
      <vt:variant>
        <vt:i4>105</vt:i4>
      </vt:variant>
      <vt:variant>
        <vt:i4>0</vt:i4>
      </vt:variant>
      <vt:variant>
        <vt:i4>5</vt:i4>
      </vt:variant>
      <vt:variant>
        <vt:lpwstr>http://www.euroregion-naen.eu/</vt:lpwstr>
      </vt:variant>
      <vt:variant>
        <vt:lpwstr/>
      </vt:variant>
      <vt:variant>
        <vt:i4>3014776</vt:i4>
      </vt:variant>
      <vt:variant>
        <vt:i4>102</vt:i4>
      </vt:variant>
      <vt:variant>
        <vt:i4>0</vt:i4>
      </vt:variant>
      <vt:variant>
        <vt:i4>5</vt:i4>
      </vt:variant>
      <vt:variant>
        <vt:lpwstr>http://www.euroregion-naen.eu/</vt:lpwstr>
      </vt:variant>
      <vt:variant>
        <vt:lpwstr/>
      </vt:variant>
      <vt:variant>
        <vt:i4>1638520</vt:i4>
      </vt:variant>
      <vt:variant>
        <vt:i4>99</vt:i4>
      </vt:variant>
      <vt:variant>
        <vt:i4>0</vt:i4>
      </vt:variant>
      <vt:variant>
        <vt:i4>5</vt:i4>
      </vt:variant>
      <vt:variant>
        <vt:lpwstr>https://www.euroregion-naen.eu/wp-content/uploads/2019/12/PS_FRA_site_.pdf</vt:lpwstr>
      </vt:variant>
      <vt:variant>
        <vt:lpwstr/>
      </vt:variant>
      <vt:variant>
        <vt:i4>2031669</vt:i4>
      </vt:variant>
      <vt:variant>
        <vt:i4>92</vt:i4>
      </vt:variant>
      <vt:variant>
        <vt:i4>0</vt:i4>
      </vt:variant>
      <vt:variant>
        <vt:i4>5</vt:i4>
      </vt:variant>
      <vt:variant>
        <vt:lpwstr/>
      </vt:variant>
      <vt:variant>
        <vt:lpwstr>_Toc96519906</vt:lpwstr>
      </vt:variant>
      <vt:variant>
        <vt:i4>1835061</vt:i4>
      </vt:variant>
      <vt:variant>
        <vt:i4>86</vt:i4>
      </vt:variant>
      <vt:variant>
        <vt:i4>0</vt:i4>
      </vt:variant>
      <vt:variant>
        <vt:i4>5</vt:i4>
      </vt:variant>
      <vt:variant>
        <vt:lpwstr/>
      </vt:variant>
      <vt:variant>
        <vt:lpwstr>_Toc96519905</vt:lpwstr>
      </vt:variant>
      <vt:variant>
        <vt:i4>1900597</vt:i4>
      </vt:variant>
      <vt:variant>
        <vt:i4>80</vt:i4>
      </vt:variant>
      <vt:variant>
        <vt:i4>0</vt:i4>
      </vt:variant>
      <vt:variant>
        <vt:i4>5</vt:i4>
      </vt:variant>
      <vt:variant>
        <vt:lpwstr/>
      </vt:variant>
      <vt:variant>
        <vt:lpwstr>_Toc96519904</vt:lpwstr>
      </vt:variant>
      <vt:variant>
        <vt:i4>1703989</vt:i4>
      </vt:variant>
      <vt:variant>
        <vt:i4>74</vt:i4>
      </vt:variant>
      <vt:variant>
        <vt:i4>0</vt:i4>
      </vt:variant>
      <vt:variant>
        <vt:i4>5</vt:i4>
      </vt:variant>
      <vt:variant>
        <vt:lpwstr/>
      </vt:variant>
      <vt:variant>
        <vt:lpwstr>_Toc96519903</vt:lpwstr>
      </vt:variant>
      <vt:variant>
        <vt:i4>1769525</vt:i4>
      </vt:variant>
      <vt:variant>
        <vt:i4>68</vt:i4>
      </vt:variant>
      <vt:variant>
        <vt:i4>0</vt:i4>
      </vt:variant>
      <vt:variant>
        <vt:i4>5</vt:i4>
      </vt:variant>
      <vt:variant>
        <vt:lpwstr/>
      </vt:variant>
      <vt:variant>
        <vt:lpwstr>_Toc96519902</vt:lpwstr>
      </vt:variant>
      <vt:variant>
        <vt:i4>1572917</vt:i4>
      </vt:variant>
      <vt:variant>
        <vt:i4>62</vt:i4>
      </vt:variant>
      <vt:variant>
        <vt:i4>0</vt:i4>
      </vt:variant>
      <vt:variant>
        <vt:i4>5</vt:i4>
      </vt:variant>
      <vt:variant>
        <vt:lpwstr/>
      </vt:variant>
      <vt:variant>
        <vt:lpwstr>_Toc96519901</vt:lpwstr>
      </vt:variant>
      <vt:variant>
        <vt:i4>1638453</vt:i4>
      </vt:variant>
      <vt:variant>
        <vt:i4>56</vt:i4>
      </vt:variant>
      <vt:variant>
        <vt:i4>0</vt:i4>
      </vt:variant>
      <vt:variant>
        <vt:i4>5</vt:i4>
      </vt:variant>
      <vt:variant>
        <vt:lpwstr/>
      </vt:variant>
      <vt:variant>
        <vt:lpwstr>_Toc96519900</vt:lpwstr>
      </vt:variant>
      <vt:variant>
        <vt:i4>1114172</vt:i4>
      </vt:variant>
      <vt:variant>
        <vt:i4>50</vt:i4>
      </vt:variant>
      <vt:variant>
        <vt:i4>0</vt:i4>
      </vt:variant>
      <vt:variant>
        <vt:i4>5</vt:i4>
      </vt:variant>
      <vt:variant>
        <vt:lpwstr/>
      </vt:variant>
      <vt:variant>
        <vt:lpwstr>_Toc96519899</vt:lpwstr>
      </vt:variant>
      <vt:variant>
        <vt:i4>1048636</vt:i4>
      </vt:variant>
      <vt:variant>
        <vt:i4>44</vt:i4>
      </vt:variant>
      <vt:variant>
        <vt:i4>0</vt:i4>
      </vt:variant>
      <vt:variant>
        <vt:i4>5</vt:i4>
      </vt:variant>
      <vt:variant>
        <vt:lpwstr/>
      </vt:variant>
      <vt:variant>
        <vt:lpwstr>_Toc96519898</vt:lpwstr>
      </vt:variant>
      <vt:variant>
        <vt:i4>2031676</vt:i4>
      </vt:variant>
      <vt:variant>
        <vt:i4>38</vt:i4>
      </vt:variant>
      <vt:variant>
        <vt:i4>0</vt:i4>
      </vt:variant>
      <vt:variant>
        <vt:i4>5</vt:i4>
      </vt:variant>
      <vt:variant>
        <vt:lpwstr/>
      </vt:variant>
      <vt:variant>
        <vt:lpwstr>_Toc96519897</vt:lpwstr>
      </vt:variant>
      <vt:variant>
        <vt:i4>1966140</vt:i4>
      </vt:variant>
      <vt:variant>
        <vt:i4>32</vt:i4>
      </vt:variant>
      <vt:variant>
        <vt:i4>0</vt:i4>
      </vt:variant>
      <vt:variant>
        <vt:i4>5</vt:i4>
      </vt:variant>
      <vt:variant>
        <vt:lpwstr/>
      </vt:variant>
      <vt:variant>
        <vt:lpwstr>_Toc96519896</vt:lpwstr>
      </vt:variant>
      <vt:variant>
        <vt:i4>1900604</vt:i4>
      </vt:variant>
      <vt:variant>
        <vt:i4>26</vt:i4>
      </vt:variant>
      <vt:variant>
        <vt:i4>0</vt:i4>
      </vt:variant>
      <vt:variant>
        <vt:i4>5</vt:i4>
      </vt:variant>
      <vt:variant>
        <vt:lpwstr/>
      </vt:variant>
      <vt:variant>
        <vt:lpwstr>_Toc96519895</vt:lpwstr>
      </vt:variant>
      <vt:variant>
        <vt:i4>1835068</vt:i4>
      </vt:variant>
      <vt:variant>
        <vt:i4>20</vt:i4>
      </vt:variant>
      <vt:variant>
        <vt:i4>0</vt:i4>
      </vt:variant>
      <vt:variant>
        <vt:i4>5</vt:i4>
      </vt:variant>
      <vt:variant>
        <vt:lpwstr/>
      </vt:variant>
      <vt:variant>
        <vt:lpwstr>_Toc96519894</vt:lpwstr>
      </vt:variant>
      <vt:variant>
        <vt:i4>1769532</vt:i4>
      </vt:variant>
      <vt:variant>
        <vt:i4>14</vt:i4>
      </vt:variant>
      <vt:variant>
        <vt:i4>0</vt:i4>
      </vt:variant>
      <vt:variant>
        <vt:i4>5</vt:i4>
      </vt:variant>
      <vt:variant>
        <vt:lpwstr/>
      </vt:variant>
      <vt:variant>
        <vt:lpwstr>_Toc96519893</vt:lpwstr>
      </vt:variant>
      <vt:variant>
        <vt:i4>1703996</vt:i4>
      </vt:variant>
      <vt:variant>
        <vt:i4>8</vt:i4>
      </vt:variant>
      <vt:variant>
        <vt:i4>0</vt:i4>
      </vt:variant>
      <vt:variant>
        <vt:i4>5</vt:i4>
      </vt:variant>
      <vt:variant>
        <vt:lpwstr/>
      </vt:variant>
      <vt:variant>
        <vt:lpwstr>_Toc96519892</vt:lpwstr>
      </vt:variant>
      <vt:variant>
        <vt:i4>1638460</vt:i4>
      </vt:variant>
      <vt:variant>
        <vt:i4>2</vt:i4>
      </vt:variant>
      <vt:variant>
        <vt:i4>0</vt:i4>
      </vt:variant>
      <vt:variant>
        <vt:i4>5</vt:i4>
      </vt:variant>
      <vt:variant>
        <vt:lpwstr/>
      </vt:variant>
      <vt:variant>
        <vt:lpwstr>_Toc96519891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HEGUY-URAIN</dc:creator>
  <cp:keywords/>
  <dc:description/>
  <cp:lastModifiedBy>Marie HEGUY-URAIN</cp:lastModifiedBy>
  <cp:revision>10</cp:revision>
  <dcterms:created xsi:type="dcterms:W3CDTF">2022-09-27T11:31:00Z</dcterms:created>
  <dcterms:modified xsi:type="dcterms:W3CDTF">2023-01-30T16:20:00Z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0x0101005B570FC4676DE54F832BD8D5FADDF570</vt:lpwstr>
  </property>
  <property fmtid="{D5CDD505-2E9C-101B-9397-08002B2CF9AE}" pid="3" name="MediaServiceImageTags">
    <vt:lpwstr/>
  </property>
</Properties>
</file>