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3B73" w14:textId="18B3113E" w:rsidR="000977E9" w:rsidRPr="0031363D" w:rsidRDefault="006673B7" w:rsidP="003C4579">
      <w:pPr>
        <w:pStyle w:val="Titre"/>
        <w:pBdr>
          <w:right w:val="single" w:sz="24" w:space="10" w:color="468A6F" w:themeColor="accent2" w:themeShade="80"/>
        </w:pBdr>
        <w:spacing w:after="0"/>
        <w:rPr>
          <w:lang w:val="fr-FR"/>
        </w:rPr>
      </w:pPr>
      <w:r w:rsidRPr="0031363D">
        <w:rPr>
          <w:b w:val="0"/>
          <w:bCs/>
          <w:lang w:val="fr-FR"/>
        </w:rPr>
        <w:t>Appel à projets</w:t>
      </w:r>
      <w:r w:rsidRPr="0031363D">
        <w:rPr>
          <w:lang w:val="fr-FR"/>
        </w:rPr>
        <w:t xml:space="preserve"> “</w:t>
      </w:r>
      <w:r w:rsidR="007A3BE1">
        <w:rPr>
          <w:lang w:val="fr-FR"/>
        </w:rPr>
        <w:t>INNOVATION</w:t>
      </w:r>
      <w:r w:rsidRPr="0031363D">
        <w:rPr>
          <w:lang w:val="fr-FR"/>
        </w:rPr>
        <w:t xml:space="preserve"> euror</w:t>
      </w:r>
      <w:r w:rsidR="005A441B" w:rsidRPr="0031363D">
        <w:rPr>
          <w:lang w:val="fr-FR"/>
        </w:rPr>
        <w:t>é</w:t>
      </w:r>
      <w:r w:rsidRPr="0031363D">
        <w:rPr>
          <w:lang w:val="fr-FR"/>
        </w:rPr>
        <w:t>gionale” 2022</w:t>
      </w:r>
    </w:p>
    <w:p w14:paraId="3589D35E" w14:textId="72C55BB9" w:rsidR="000977E9" w:rsidRDefault="006673B7" w:rsidP="006673B7">
      <w:pPr>
        <w:pStyle w:val="Sous-titre"/>
      </w:pPr>
      <w:r>
        <w:t>Cahier des charges</w:t>
      </w:r>
    </w:p>
    <w:sdt>
      <w:sdtPr>
        <w:rPr>
          <w:rFonts w:ascii="Roboto" w:eastAsiaTheme="minorHAnsi" w:hAnsi="Roboto" w:cstheme="minorBidi"/>
          <w:color w:val="auto"/>
          <w:sz w:val="22"/>
          <w:szCs w:val="22"/>
          <w:lang w:val="fr-FR" w:eastAsia="en-US"/>
        </w:rPr>
        <w:id w:val="-1999188758"/>
        <w:docPartObj>
          <w:docPartGallery w:val="Table of Contents"/>
          <w:docPartUnique/>
        </w:docPartObj>
      </w:sdtPr>
      <w:sdtEndPr>
        <w:rPr>
          <w:b/>
          <w:bCs/>
        </w:rPr>
      </w:sdtEndPr>
      <w:sdtContent>
        <w:p w14:paraId="182A936F" w14:textId="4780061D" w:rsidR="00256DFA" w:rsidRDefault="00256DFA">
          <w:pPr>
            <w:pStyle w:val="En-ttedetabledesmatires"/>
          </w:pPr>
        </w:p>
        <w:p w14:paraId="45AF7676" w14:textId="732449CC" w:rsidR="003F2061" w:rsidRDefault="00256DFA">
          <w:pPr>
            <w:pStyle w:val="TM1"/>
            <w:tabs>
              <w:tab w:val="left" w:pos="440"/>
              <w:tab w:val="right" w:leader="dot" w:pos="9062"/>
            </w:tabs>
            <w:rPr>
              <w:rFonts w:asciiTheme="minorHAnsi" w:eastAsiaTheme="minorEastAsia" w:hAnsiTheme="minorHAnsi"/>
              <w:noProof/>
              <w:lang w:eastAsia="es-ES"/>
            </w:rPr>
          </w:pPr>
          <w:r>
            <w:fldChar w:fldCharType="begin"/>
          </w:r>
          <w:r>
            <w:instrText xml:space="preserve"> TOC \o "1-3" \h \z \u </w:instrText>
          </w:r>
          <w:r>
            <w:fldChar w:fldCharType="separate"/>
          </w:r>
          <w:hyperlink w:anchor="_Toc96519891" w:history="1">
            <w:r w:rsidR="003F2061" w:rsidRPr="004B3BBB">
              <w:rPr>
                <w:rStyle w:val="Lienhypertexte"/>
                <w:noProof/>
              </w:rPr>
              <w:t>1.</w:t>
            </w:r>
            <w:r w:rsidR="003F2061">
              <w:rPr>
                <w:rFonts w:asciiTheme="minorHAnsi" w:eastAsiaTheme="minorEastAsia" w:hAnsiTheme="minorHAnsi"/>
                <w:noProof/>
                <w:lang w:eastAsia="es-ES"/>
              </w:rPr>
              <w:tab/>
            </w:r>
            <w:r w:rsidR="003F2061" w:rsidRPr="004B3BBB">
              <w:rPr>
                <w:rStyle w:val="Lienhypertexte"/>
                <w:noProof/>
              </w:rPr>
              <w:t>Objet</w:t>
            </w:r>
            <w:r w:rsidR="003F2061">
              <w:rPr>
                <w:noProof/>
                <w:webHidden/>
              </w:rPr>
              <w:tab/>
            </w:r>
            <w:r w:rsidR="003F2061">
              <w:rPr>
                <w:noProof/>
                <w:webHidden/>
              </w:rPr>
              <w:fldChar w:fldCharType="begin"/>
            </w:r>
            <w:r w:rsidR="003F2061">
              <w:rPr>
                <w:noProof/>
                <w:webHidden/>
              </w:rPr>
              <w:instrText xml:space="preserve"> PAGEREF _Toc96519891 \h </w:instrText>
            </w:r>
            <w:r w:rsidR="003F2061">
              <w:rPr>
                <w:noProof/>
                <w:webHidden/>
              </w:rPr>
            </w:r>
            <w:r w:rsidR="003F2061">
              <w:rPr>
                <w:noProof/>
                <w:webHidden/>
              </w:rPr>
              <w:fldChar w:fldCharType="separate"/>
            </w:r>
            <w:r w:rsidR="00DC6572">
              <w:rPr>
                <w:noProof/>
                <w:webHidden/>
              </w:rPr>
              <w:t>2</w:t>
            </w:r>
            <w:r w:rsidR="003F2061">
              <w:rPr>
                <w:noProof/>
                <w:webHidden/>
              </w:rPr>
              <w:fldChar w:fldCharType="end"/>
            </w:r>
          </w:hyperlink>
        </w:p>
        <w:p w14:paraId="77606F2C" w14:textId="25E247B0" w:rsidR="003F2061" w:rsidRDefault="00000000">
          <w:pPr>
            <w:pStyle w:val="TM1"/>
            <w:tabs>
              <w:tab w:val="left" w:pos="440"/>
              <w:tab w:val="right" w:leader="dot" w:pos="9062"/>
            </w:tabs>
            <w:rPr>
              <w:rFonts w:asciiTheme="minorHAnsi" w:eastAsiaTheme="minorEastAsia" w:hAnsiTheme="minorHAnsi"/>
              <w:noProof/>
              <w:lang w:eastAsia="es-ES"/>
            </w:rPr>
          </w:pPr>
          <w:hyperlink w:anchor="_Toc96519892" w:history="1">
            <w:r w:rsidR="003F2061" w:rsidRPr="004B3BBB">
              <w:rPr>
                <w:rStyle w:val="Lienhypertexte"/>
                <w:noProof/>
                <w:lang w:val="fr-FR"/>
              </w:rPr>
              <w:t>2.</w:t>
            </w:r>
            <w:r w:rsidR="003F2061">
              <w:rPr>
                <w:rFonts w:asciiTheme="minorHAnsi" w:eastAsiaTheme="minorEastAsia" w:hAnsiTheme="minorHAnsi"/>
                <w:noProof/>
                <w:lang w:eastAsia="es-ES"/>
              </w:rPr>
              <w:tab/>
            </w:r>
            <w:r w:rsidR="003F2061" w:rsidRPr="004B3BBB">
              <w:rPr>
                <w:rStyle w:val="Lienhypertexte"/>
                <w:noProof/>
                <w:lang w:val="fr-FR"/>
              </w:rPr>
              <w:t>Territoires éligibles</w:t>
            </w:r>
            <w:r w:rsidR="003F2061">
              <w:rPr>
                <w:noProof/>
                <w:webHidden/>
              </w:rPr>
              <w:tab/>
            </w:r>
            <w:r w:rsidR="003F2061">
              <w:rPr>
                <w:noProof/>
                <w:webHidden/>
              </w:rPr>
              <w:fldChar w:fldCharType="begin"/>
            </w:r>
            <w:r w:rsidR="003F2061">
              <w:rPr>
                <w:noProof/>
                <w:webHidden/>
              </w:rPr>
              <w:instrText xml:space="preserve"> PAGEREF _Toc96519892 \h </w:instrText>
            </w:r>
            <w:r w:rsidR="003F2061">
              <w:rPr>
                <w:noProof/>
                <w:webHidden/>
              </w:rPr>
            </w:r>
            <w:r w:rsidR="003F2061">
              <w:rPr>
                <w:noProof/>
                <w:webHidden/>
              </w:rPr>
              <w:fldChar w:fldCharType="separate"/>
            </w:r>
            <w:r w:rsidR="00DC6572">
              <w:rPr>
                <w:noProof/>
                <w:webHidden/>
              </w:rPr>
              <w:t>3</w:t>
            </w:r>
            <w:r w:rsidR="003F2061">
              <w:rPr>
                <w:noProof/>
                <w:webHidden/>
              </w:rPr>
              <w:fldChar w:fldCharType="end"/>
            </w:r>
          </w:hyperlink>
        </w:p>
        <w:p w14:paraId="4995D0D0" w14:textId="0DE73B25" w:rsidR="003F2061" w:rsidRDefault="00000000">
          <w:pPr>
            <w:pStyle w:val="TM1"/>
            <w:tabs>
              <w:tab w:val="left" w:pos="440"/>
              <w:tab w:val="right" w:leader="dot" w:pos="9062"/>
            </w:tabs>
            <w:rPr>
              <w:rFonts w:asciiTheme="minorHAnsi" w:eastAsiaTheme="minorEastAsia" w:hAnsiTheme="minorHAnsi"/>
              <w:noProof/>
              <w:lang w:eastAsia="es-ES"/>
            </w:rPr>
          </w:pPr>
          <w:hyperlink w:anchor="_Toc96519893" w:history="1">
            <w:r w:rsidR="003F2061" w:rsidRPr="004B3BBB">
              <w:rPr>
                <w:rStyle w:val="Lienhypertexte"/>
                <w:noProof/>
                <w:lang w:val="fr-FR"/>
              </w:rPr>
              <w:t>3.</w:t>
            </w:r>
            <w:r w:rsidR="003F2061">
              <w:rPr>
                <w:rFonts w:asciiTheme="minorHAnsi" w:eastAsiaTheme="minorEastAsia" w:hAnsiTheme="minorHAnsi"/>
                <w:noProof/>
                <w:lang w:eastAsia="es-ES"/>
              </w:rPr>
              <w:tab/>
            </w:r>
            <w:r w:rsidR="003F2061" w:rsidRPr="004B3BBB">
              <w:rPr>
                <w:rStyle w:val="Lienhypertexte"/>
                <w:noProof/>
                <w:lang w:val="fr-FR"/>
              </w:rPr>
              <w:t>Thématiques</w:t>
            </w:r>
            <w:r w:rsidR="003F2061">
              <w:rPr>
                <w:noProof/>
                <w:webHidden/>
              </w:rPr>
              <w:tab/>
            </w:r>
            <w:r w:rsidR="003F2061">
              <w:rPr>
                <w:noProof/>
                <w:webHidden/>
              </w:rPr>
              <w:fldChar w:fldCharType="begin"/>
            </w:r>
            <w:r w:rsidR="003F2061">
              <w:rPr>
                <w:noProof/>
                <w:webHidden/>
              </w:rPr>
              <w:instrText xml:space="preserve"> PAGEREF _Toc96519893 \h </w:instrText>
            </w:r>
            <w:r w:rsidR="003F2061">
              <w:rPr>
                <w:noProof/>
                <w:webHidden/>
              </w:rPr>
            </w:r>
            <w:r w:rsidR="003F2061">
              <w:rPr>
                <w:noProof/>
                <w:webHidden/>
              </w:rPr>
              <w:fldChar w:fldCharType="separate"/>
            </w:r>
            <w:r w:rsidR="00DC6572">
              <w:rPr>
                <w:noProof/>
                <w:webHidden/>
              </w:rPr>
              <w:t>4</w:t>
            </w:r>
            <w:r w:rsidR="003F2061">
              <w:rPr>
                <w:noProof/>
                <w:webHidden/>
              </w:rPr>
              <w:fldChar w:fldCharType="end"/>
            </w:r>
          </w:hyperlink>
        </w:p>
        <w:p w14:paraId="13788FB6" w14:textId="4D575413" w:rsidR="003F2061" w:rsidRDefault="00000000">
          <w:pPr>
            <w:pStyle w:val="TM1"/>
            <w:tabs>
              <w:tab w:val="left" w:pos="440"/>
              <w:tab w:val="right" w:leader="dot" w:pos="9062"/>
            </w:tabs>
            <w:rPr>
              <w:rFonts w:asciiTheme="minorHAnsi" w:eastAsiaTheme="minorEastAsia" w:hAnsiTheme="minorHAnsi"/>
              <w:noProof/>
              <w:lang w:eastAsia="es-ES"/>
            </w:rPr>
          </w:pPr>
          <w:hyperlink w:anchor="_Toc96519894" w:history="1">
            <w:r w:rsidR="003F2061" w:rsidRPr="004B3BBB">
              <w:rPr>
                <w:rStyle w:val="Lienhypertexte"/>
                <w:noProof/>
              </w:rPr>
              <w:t>4.</w:t>
            </w:r>
            <w:r w:rsidR="003F2061">
              <w:rPr>
                <w:rFonts w:asciiTheme="minorHAnsi" w:eastAsiaTheme="minorEastAsia" w:hAnsiTheme="minorHAnsi"/>
                <w:noProof/>
                <w:lang w:eastAsia="es-ES"/>
              </w:rPr>
              <w:tab/>
            </w:r>
            <w:r w:rsidR="003F2061" w:rsidRPr="004B3BBB">
              <w:rPr>
                <w:rStyle w:val="Lienhypertexte"/>
                <w:noProof/>
              </w:rPr>
              <w:t>Bénéficiaires</w:t>
            </w:r>
            <w:r w:rsidR="003F2061">
              <w:rPr>
                <w:noProof/>
                <w:webHidden/>
              </w:rPr>
              <w:tab/>
            </w:r>
            <w:r w:rsidR="003F2061">
              <w:rPr>
                <w:noProof/>
                <w:webHidden/>
              </w:rPr>
              <w:fldChar w:fldCharType="begin"/>
            </w:r>
            <w:r w:rsidR="003F2061">
              <w:rPr>
                <w:noProof/>
                <w:webHidden/>
              </w:rPr>
              <w:instrText xml:space="preserve"> PAGEREF _Toc96519894 \h </w:instrText>
            </w:r>
            <w:r w:rsidR="003F2061">
              <w:rPr>
                <w:noProof/>
                <w:webHidden/>
              </w:rPr>
            </w:r>
            <w:r w:rsidR="003F2061">
              <w:rPr>
                <w:noProof/>
                <w:webHidden/>
              </w:rPr>
              <w:fldChar w:fldCharType="separate"/>
            </w:r>
            <w:r w:rsidR="00DC6572">
              <w:rPr>
                <w:noProof/>
                <w:webHidden/>
              </w:rPr>
              <w:t>4</w:t>
            </w:r>
            <w:r w:rsidR="003F2061">
              <w:rPr>
                <w:noProof/>
                <w:webHidden/>
              </w:rPr>
              <w:fldChar w:fldCharType="end"/>
            </w:r>
          </w:hyperlink>
        </w:p>
        <w:p w14:paraId="132DEBEC" w14:textId="251CCED5" w:rsidR="003F2061" w:rsidRDefault="00000000">
          <w:pPr>
            <w:pStyle w:val="TM1"/>
            <w:tabs>
              <w:tab w:val="left" w:pos="440"/>
              <w:tab w:val="right" w:leader="dot" w:pos="9062"/>
            </w:tabs>
            <w:rPr>
              <w:rFonts w:asciiTheme="minorHAnsi" w:eastAsiaTheme="minorEastAsia" w:hAnsiTheme="minorHAnsi"/>
              <w:noProof/>
              <w:lang w:eastAsia="es-ES"/>
            </w:rPr>
          </w:pPr>
          <w:hyperlink w:anchor="_Toc96519895" w:history="1">
            <w:r w:rsidR="003F2061" w:rsidRPr="004B3BBB">
              <w:rPr>
                <w:rStyle w:val="Lienhypertexte"/>
                <w:noProof/>
              </w:rPr>
              <w:t>5.</w:t>
            </w:r>
            <w:r w:rsidR="003F2061">
              <w:rPr>
                <w:rFonts w:asciiTheme="minorHAnsi" w:eastAsiaTheme="minorEastAsia" w:hAnsiTheme="minorHAnsi"/>
                <w:noProof/>
                <w:lang w:eastAsia="es-ES"/>
              </w:rPr>
              <w:tab/>
            </w:r>
            <w:r w:rsidR="003F2061" w:rsidRPr="004B3BBB">
              <w:rPr>
                <w:rStyle w:val="Lienhypertexte"/>
                <w:noProof/>
              </w:rPr>
              <w:t>Montants et financement</w:t>
            </w:r>
            <w:r w:rsidR="003F2061">
              <w:rPr>
                <w:noProof/>
                <w:webHidden/>
              </w:rPr>
              <w:tab/>
            </w:r>
            <w:r w:rsidR="003F2061">
              <w:rPr>
                <w:noProof/>
                <w:webHidden/>
              </w:rPr>
              <w:fldChar w:fldCharType="begin"/>
            </w:r>
            <w:r w:rsidR="003F2061">
              <w:rPr>
                <w:noProof/>
                <w:webHidden/>
              </w:rPr>
              <w:instrText xml:space="preserve"> PAGEREF _Toc96519895 \h </w:instrText>
            </w:r>
            <w:r w:rsidR="003F2061">
              <w:rPr>
                <w:noProof/>
                <w:webHidden/>
              </w:rPr>
            </w:r>
            <w:r w:rsidR="003F2061">
              <w:rPr>
                <w:noProof/>
                <w:webHidden/>
              </w:rPr>
              <w:fldChar w:fldCharType="separate"/>
            </w:r>
            <w:r w:rsidR="00DC6572">
              <w:rPr>
                <w:noProof/>
                <w:webHidden/>
              </w:rPr>
              <w:t>5</w:t>
            </w:r>
            <w:r w:rsidR="003F2061">
              <w:rPr>
                <w:noProof/>
                <w:webHidden/>
              </w:rPr>
              <w:fldChar w:fldCharType="end"/>
            </w:r>
          </w:hyperlink>
        </w:p>
        <w:p w14:paraId="63C0760D" w14:textId="367065DE" w:rsidR="003F2061" w:rsidRDefault="00000000">
          <w:pPr>
            <w:pStyle w:val="TM1"/>
            <w:tabs>
              <w:tab w:val="left" w:pos="440"/>
              <w:tab w:val="right" w:leader="dot" w:pos="9062"/>
            </w:tabs>
            <w:rPr>
              <w:rFonts w:asciiTheme="minorHAnsi" w:eastAsiaTheme="minorEastAsia" w:hAnsiTheme="minorHAnsi"/>
              <w:noProof/>
              <w:lang w:eastAsia="es-ES"/>
            </w:rPr>
          </w:pPr>
          <w:hyperlink w:anchor="_Toc96519896" w:history="1">
            <w:r w:rsidR="003F2061" w:rsidRPr="004B3BBB">
              <w:rPr>
                <w:rStyle w:val="Lienhypertexte"/>
                <w:noProof/>
                <w:lang w:val="fr-FR"/>
              </w:rPr>
              <w:t>6.</w:t>
            </w:r>
            <w:r w:rsidR="003F2061">
              <w:rPr>
                <w:rFonts w:asciiTheme="minorHAnsi" w:eastAsiaTheme="minorEastAsia" w:hAnsiTheme="minorHAnsi"/>
                <w:noProof/>
                <w:lang w:eastAsia="es-ES"/>
              </w:rPr>
              <w:tab/>
            </w:r>
            <w:r w:rsidR="003F2061" w:rsidRPr="004B3BBB">
              <w:rPr>
                <w:rStyle w:val="Lienhypertexte"/>
                <w:noProof/>
                <w:lang w:val="fr-FR"/>
              </w:rPr>
              <w:t>Dépôt et calendrier</w:t>
            </w:r>
            <w:r w:rsidR="003F2061">
              <w:rPr>
                <w:noProof/>
                <w:webHidden/>
              </w:rPr>
              <w:tab/>
            </w:r>
            <w:r w:rsidR="003F2061">
              <w:rPr>
                <w:noProof/>
                <w:webHidden/>
              </w:rPr>
              <w:fldChar w:fldCharType="begin"/>
            </w:r>
            <w:r w:rsidR="003F2061">
              <w:rPr>
                <w:noProof/>
                <w:webHidden/>
              </w:rPr>
              <w:instrText xml:space="preserve"> PAGEREF _Toc96519896 \h </w:instrText>
            </w:r>
            <w:r w:rsidR="003F2061">
              <w:rPr>
                <w:noProof/>
                <w:webHidden/>
              </w:rPr>
            </w:r>
            <w:r w:rsidR="003F2061">
              <w:rPr>
                <w:noProof/>
                <w:webHidden/>
              </w:rPr>
              <w:fldChar w:fldCharType="separate"/>
            </w:r>
            <w:r w:rsidR="00DC6572">
              <w:rPr>
                <w:noProof/>
                <w:webHidden/>
              </w:rPr>
              <w:t>6</w:t>
            </w:r>
            <w:r w:rsidR="003F2061">
              <w:rPr>
                <w:noProof/>
                <w:webHidden/>
              </w:rPr>
              <w:fldChar w:fldCharType="end"/>
            </w:r>
          </w:hyperlink>
        </w:p>
        <w:p w14:paraId="697DCF33" w14:textId="62F77030" w:rsidR="003F2061" w:rsidRDefault="00000000">
          <w:pPr>
            <w:pStyle w:val="TM2"/>
            <w:tabs>
              <w:tab w:val="left" w:pos="660"/>
              <w:tab w:val="right" w:leader="dot" w:pos="9062"/>
            </w:tabs>
            <w:rPr>
              <w:noProof/>
            </w:rPr>
          </w:pPr>
          <w:hyperlink w:anchor="_Toc96519897" w:history="1">
            <w:r w:rsidR="003F2061" w:rsidRPr="004B3BBB">
              <w:rPr>
                <w:rStyle w:val="Lienhypertexte"/>
                <w:noProof/>
              </w:rPr>
              <w:t>a.</w:t>
            </w:r>
            <w:r w:rsidR="003F2061">
              <w:rPr>
                <w:noProof/>
              </w:rPr>
              <w:tab/>
            </w:r>
            <w:r w:rsidR="003F2061" w:rsidRPr="004B3BBB">
              <w:rPr>
                <w:rStyle w:val="Lienhypertexte"/>
                <w:noProof/>
                <w:shd w:val="clear" w:color="auto" w:fill="FFFFFF"/>
              </w:rPr>
              <w:t>Calendrier de l’Appel à projets</w:t>
            </w:r>
            <w:r w:rsidR="003F2061">
              <w:rPr>
                <w:noProof/>
                <w:webHidden/>
              </w:rPr>
              <w:tab/>
            </w:r>
            <w:r w:rsidR="003F2061">
              <w:rPr>
                <w:noProof/>
                <w:webHidden/>
              </w:rPr>
              <w:fldChar w:fldCharType="begin"/>
            </w:r>
            <w:r w:rsidR="003F2061">
              <w:rPr>
                <w:noProof/>
                <w:webHidden/>
              </w:rPr>
              <w:instrText xml:space="preserve"> PAGEREF _Toc96519897 \h </w:instrText>
            </w:r>
            <w:r w:rsidR="003F2061">
              <w:rPr>
                <w:noProof/>
                <w:webHidden/>
              </w:rPr>
            </w:r>
            <w:r w:rsidR="003F2061">
              <w:rPr>
                <w:noProof/>
                <w:webHidden/>
              </w:rPr>
              <w:fldChar w:fldCharType="separate"/>
            </w:r>
            <w:r w:rsidR="00DC6572">
              <w:rPr>
                <w:noProof/>
                <w:webHidden/>
              </w:rPr>
              <w:t>6</w:t>
            </w:r>
            <w:r w:rsidR="003F2061">
              <w:rPr>
                <w:noProof/>
                <w:webHidden/>
              </w:rPr>
              <w:fldChar w:fldCharType="end"/>
            </w:r>
          </w:hyperlink>
        </w:p>
        <w:p w14:paraId="1A82C8BF" w14:textId="422F8C8B" w:rsidR="003F2061" w:rsidRDefault="00000000">
          <w:pPr>
            <w:pStyle w:val="TM2"/>
            <w:tabs>
              <w:tab w:val="left" w:pos="660"/>
              <w:tab w:val="right" w:leader="dot" w:pos="9062"/>
            </w:tabs>
            <w:rPr>
              <w:noProof/>
            </w:rPr>
          </w:pPr>
          <w:hyperlink w:anchor="_Toc96519898" w:history="1">
            <w:r w:rsidR="003F2061" w:rsidRPr="004B3BBB">
              <w:rPr>
                <w:rStyle w:val="Lienhypertexte"/>
                <w:noProof/>
              </w:rPr>
              <w:t>b.</w:t>
            </w:r>
            <w:r w:rsidR="003F2061">
              <w:rPr>
                <w:noProof/>
              </w:rPr>
              <w:tab/>
            </w:r>
            <w:r w:rsidR="003F2061" w:rsidRPr="004B3BBB">
              <w:rPr>
                <w:rStyle w:val="Lienhypertexte"/>
                <w:noProof/>
              </w:rPr>
              <w:t>Candidature et documents</w:t>
            </w:r>
            <w:r w:rsidR="003F2061">
              <w:rPr>
                <w:noProof/>
                <w:webHidden/>
              </w:rPr>
              <w:tab/>
            </w:r>
            <w:r w:rsidR="003F2061">
              <w:rPr>
                <w:noProof/>
                <w:webHidden/>
              </w:rPr>
              <w:fldChar w:fldCharType="begin"/>
            </w:r>
            <w:r w:rsidR="003F2061">
              <w:rPr>
                <w:noProof/>
                <w:webHidden/>
              </w:rPr>
              <w:instrText xml:space="preserve"> PAGEREF _Toc96519898 \h </w:instrText>
            </w:r>
            <w:r w:rsidR="003F2061">
              <w:rPr>
                <w:noProof/>
                <w:webHidden/>
              </w:rPr>
            </w:r>
            <w:r w:rsidR="003F2061">
              <w:rPr>
                <w:noProof/>
                <w:webHidden/>
              </w:rPr>
              <w:fldChar w:fldCharType="separate"/>
            </w:r>
            <w:r w:rsidR="00DC6572">
              <w:rPr>
                <w:noProof/>
                <w:webHidden/>
              </w:rPr>
              <w:t>7</w:t>
            </w:r>
            <w:r w:rsidR="003F2061">
              <w:rPr>
                <w:noProof/>
                <w:webHidden/>
              </w:rPr>
              <w:fldChar w:fldCharType="end"/>
            </w:r>
          </w:hyperlink>
        </w:p>
        <w:p w14:paraId="265C0C79" w14:textId="42D89E88" w:rsidR="003F2061" w:rsidRDefault="00000000">
          <w:pPr>
            <w:pStyle w:val="TM2"/>
            <w:tabs>
              <w:tab w:val="left" w:pos="660"/>
              <w:tab w:val="right" w:leader="dot" w:pos="9062"/>
            </w:tabs>
            <w:rPr>
              <w:noProof/>
            </w:rPr>
          </w:pPr>
          <w:hyperlink w:anchor="_Toc96519899" w:history="1">
            <w:r w:rsidR="003F2061" w:rsidRPr="004B3BBB">
              <w:rPr>
                <w:rStyle w:val="Lienhypertexte"/>
                <w:noProof/>
              </w:rPr>
              <w:t>c.</w:t>
            </w:r>
            <w:r w:rsidR="003F2061">
              <w:rPr>
                <w:noProof/>
              </w:rPr>
              <w:tab/>
            </w:r>
            <w:r w:rsidR="003F2061" w:rsidRPr="004B3BBB">
              <w:rPr>
                <w:rStyle w:val="Lienhypertexte"/>
                <w:noProof/>
              </w:rPr>
              <w:t>Calendrier de réalisation</w:t>
            </w:r>
            <w:r w:rsidR="003F2061">
              <w:rPr>
                <w:noProof/>
                <w:webHidden/>
              </w:rPr>
              <w:tab/>
            </w:r>
            <w:r w:rsidR="003F2061">
              <w:rPr>
                <w:noProof/>
                <w:webHidden/>
              </w:rPr>
              <w:fldChar w:fldCharType="begin"/>
            </w:r>
            <w:r w:rsidR="003F2061">
              <w:rPr>
                <w:noProof/>
                <w:webHidden/>
              </w:rPr>
              <w:instrText xml:space="preserve"> PAGEREF _Toc96519899 \h </w:instrText>
            </w:r>
            <w:r w:rsidR="003F2061">
              <w:rPr>
                <w:noProof/>
                <w:webHidden/>
              </w:rPr>
            </w:r>
            <w:r w:rsidR="003F2061">
              <w:rPr>
                <w:noProof/>
                <w:webHidden/>
              </w:rPr>
              <w:fldChar w:fldCharType="separate"/>
            </w:r>
            <w:r w:rsidR="00DC6572">
              <w:rPr>
                <w:noProof/>
                <w:webHidden/>
              </w:rPr>
              <w:t>7</w:t>
            </w:r>
            <w:r w:rsidR="003F2061">
              <w:rPr>
                <w:noProof/>
                <w:webHidden/>
              </w:rPr>
              <w:fldChar w:fldCharType="end"/>
            </w:r>
          </w:hyperlink>
        </w:p>
        <w:p w14:paraId="34574391" w14:textId="2FC17E44" w:rsidR="003F2061" w:rsidRDefault="00000000">
          <w:pPr>
            <w:pStyle w:val="TM1"/>
            <w:tabs>
              <w:tab w:val="left" w:pos="440"/>
              <w:tab w:val="right" w:leader="dot" w:pos="9062"/>
            </w:tabs>
            <w:rPr>
              <w:rFonts w:asciiTheme="minorHAnsi" w:eastAsiaTheme="minorEastAsia" w:hAnsiTheme="minorHAnsi"/>
              <w:noProof/>
              <w:lang w:eastAsia="es-ES"/>
            </w:rPr>
          </w:pPr>
          <w:hyperlink w:anchor="_Toc96519900" w:history="1">
            <w:r w:rsidR="003F2061" w:rsidRPr="004B3BBB">
              <w:rPr>
                <w:rStyle w:val="Lienhypertexte"/>
                <w:noProof/>
              </w:rPr>
              <w:t>7.</w:t>
            </w:r>
            <w:r w:rsidR="003F2061">
              <w:rPr>
                <w:rFonts w:asciiTheme="minorHAnsi" w:eastAsiaTheme="minorEastAsia" w:hAnsiTheme="minorHAnsi"/>
                <w:noProof/>
                <w:lang w:eastAsia="es-ES"/>
              </w:rPr>
              <w:tab/>
            </w:r>
            <w:r w:rsidR="003F2061" w:rsidRPr="004B3BBB">
              <w:rPr>
                <w:rStyle w:val="Lienhypertexte"/>
                <w:noProof/>
              </w:rPr>
              <w:t>Procédure d’instruction</w:t>
            </w:r>
            <w:r w:rsidR="003F2061">
              <w:rPr>
                <w:noProof/>
                <w:webHidden/>
              </w:rPr>
              <w:tab/>
            </w:r>
            <w:r w:rsidR="003F2061">
              <w:rPr>
                <w:noProof/>
                <w:webHidden/>
              </w:rPr>
              <w:fldChar w:fldCharType="begin"/>
            </w:r>
            <w:r w:rsidR="003F2061">
              <w:rPr>
                <w:noProof/>
                <w:webHidden/>
              </w:rPr>
              <w:instrText xml:space="preserve"> PAGEREF _Toc96519900 \h </w:instrText>
            </w:r>
            <w:r w:rsidR="003F2061">
              <w:rPr>
                <w:noProof/>
                <w:webHidden/>
              </w:rPr>
            </w:r>
            <w:r w:rsidR="003F2061">
              <w:rPr>
                <w:noProof/>
                <w:webHidden/>
              </w:rPr>
              <w:fldChar w:fldCharType="separate"/>
            </w:r>
            <w:r w:rsidR="00DC6572">
              <w:rPr>
                <w:noProof/>
                <w:webHidden/>
              </w:rPr>
              <w:t>7</w:t>
            </w:r>
            <w:r w:rsidR="003F2061">
              <w:rPr>
                <w:noProof/>
                <w:webHidden/>
              </w:rPr>
              <w:fldChar w:fldCharType="end"/>
            </w:r>
          </w:hyperlink>
        </w:p>
        <w:p w14:paraId="12C7E1B4" w14:textId="1995A17D" w:rsidR="003F2061" w:rsidRDefault="00000000">
          <w:pPr>
            <w:pStyle w:val="TM1"/>
            <w:tabs>
              <w:tab w:val="left" w:pos="440"/>
              <w:tab w:val="right" w:leader="dot" w:pos="9062"/>
            </w:tabs>
            <w:rPr>
              <w:rFonts w:asciiTheme="minorHAnsi" w:eastAsiaTheme="minorEastAsia" w:hAnsiTheme="minorHAnsi"/>
              <w:noProof/>
              <w:lang w:eastAsia="es-ES"/>
            </w:rPr>
          </w:pPr>
          <w:hyperlink w:anchor="_Toc96519901" w:history="1">
            <w:r w:rsidR="003F2061" w:rsidRPr="004B3BBB">
              <w:rPr>
                <w:rStyle w:val="Lienhypertexte"/>
                <w:noProof/>
              </w:rPr>
              <w:t>8.</w:t>
            </w:r>
            <w:r w:rsidR="003F2061">
              <w:rPr>
                <w:rFonts w:asciiTheme="minorHAnsi" w:eastAsiaTheme="minorEastAsia" w:hAnsiTheme="minorHAnsi"/>
                <w:noProof/>
                <w:lang w:eastAsia="es-ES"/>
              </w:rPr>
              <w:tab/>
            </w:r>
            <w:r w:rsidR="003F2061" w:rsidRPr="004B3BBB">
              <w:rPr>
                <w:rStyle w:val="Lienhypertexte"/>
                <w:noProof/>
              </w:rPr>
              <w:t>Critères de sélection</w:t>
            </w:r>
            <w:r w:rsidR="003F2061">
              <w:rPr>
                <w:noProof/>
                <w:webHidden/>
              </w:rPr>
              <w:tab/>
            </w:r>
            <w:r w:rsidR="003F2061">
              <w:rPr>
                <w:noProof/>
                <w:webHidden/>
              </w:rPr>
              <w:fldChar w:fldCharType="begin"/>
            </w:r>
            <w:r w:rsidR="003F2061">
              <w:rPr>
                <w:noProof/>
                <w:webHidden/>
              </w:rPr>
              <w:instrText xml:space="preserve"> PAGEREF _Toc96519901 \h </w:instrText>
            </w:r>
            <w:r w:rsidR="003F2061">
              <w:rPr>
                <w:noProof/>
                <w:webHidden/>
              </w:rPr>
            </w:r>
            <w:r w:rsidR="003F2061">
              <w:rPr>
                <w:noProof/>
                <w:webHidden/>
              </w:rPr>
              <w:fldChar w:fldCharType="separate"/>
            </w:r>
            <w:r w:rsidR="00DC6572">
              <w:rPr>
                <w:noProof/>
                <w:webHidden/>
              </w:rPr>
              <w:t>8</w:t>
            </w:r>
            <w:r w:rsidR="003F2061">
              <w:rPr>
                <w:noProof/>
                <w:webHidden/>
              </w:rPr>
              <w:fldChar w:fldCharType="end"/>
            </w:r>
          </w:hyperlink>
        </w:p>
        <w:p w14:paraId="192A6992" w14:textId="17FA1D65" w:rsidR="003F2061" w:rsidRDefault="00000000">
          <w:pPr>
            <w:pStyle w:val="TM1"/>
            <w:tabs>
              <w:tab w:val="left" w:pos="440"/>
              <w:tab w:val="right" w:leader="dot" w:pos="9062"/>
            </w:tabs>
            <w:rPr>
              <w:rFonts w:asciiTheme="minorHAnsi" w:eastAsiaTheme="minorEastAsia" w:hAnsiTheme="minorHAnsi"/>
              <w:noProof/>
              <w:lang w:eastAsia="es-ES"/>
            </w:rPr>
          </w:pPr>
          <w:hyperlink w:anchor="_Toc96519902" w:history="1">
            <w:r w:rsidR="003F2061" w:rsidRPr="004B3BBB">
              <w:rPr>
                <w:rStyle w:val="Lienhypertexte"/>
                <w:noProof/>
              </w:rPr>
              <w:t>9.</w:t>
            </w:r>
            <w:r w:rsidR="003F2061">
              <w:rPr>
                <w:rFonts w:asciiTheme="minorHAnsi" w:eastAsiaTheme="minorEastAsia" w:hAnsiTheme="minorHAnsi"/>
                <w:noProof/>
                <w:lang w:eastAsia="es-ES"/>
              </w:rPr>
              <w:tab/>
            </w:r>
            <w:r w:rsidR="003F2061" w:rsidRPr="004B3BBB">
              <w:rPr>
                <w:rStyle w:val="Lienhypertexte"/>
                <w:noProof/>
              </w:rPr>
              <w:t>Octroi des subventions et justificatifs</w:t>
            </w:r>
            <w:r w:rsidR="003F2061">
              <w:rPr>
                <w:noProof/>
                <w:webHidden/>
              </w:rPr>
              <w:tab/>
            </w:r>
            <w:r w:rsidR="003F2061">
              <w:rPr>
                <w:noProof/>
                <w:webHidden/>
              </w:rPr>
              <w:fldChar w:fldCharType="begin"/>
            </w:r>
            <w:r w:rsidR="003F2061">
              <w:rPr>
                <w:noProof/>
                <w:webHidden/>
              </w:rPr>
              <w:instrText xml:space="preserve"> PAGEREF _Toc96519902 \h </w:instrText>
            </w:r>
            <w:r w:rsidR="003F2061">
              <w:rPr>
                <w:noProof/>
                <w:webHidden/>
              </w:rPr>
            </w:r>
            <w:r w:rsidR="003F2061">
              <w:rPr>
                <w:noProof/>
                <w:webHidden/>
              </w:rPr>
              <w:fldChar w:fldCharType="separate"/>
            </w:r>
            <w:r w:rsidR="00DC6572">
              <w:rPr>
                <w:noProof/>
                <w:webHidden/>
              </w:rPr>
              <w:t>8</w:t>
            </w:r>
            <w:r w:rsidR="003F2061">
              <w:rPr>
                <w:noProof/>
                <w:webHidden/>
              </w:rPr>
              <w:fldChar w:fldCharType="end"/>
            </w:r>
          </w:hyperlink>
        </w:p>
        <w:p w14:paraId="0B20BBD7" w14:textId="379A99CE" w:rsidR="003F2061" w:rsidRDefault="00000000">
          <w:pPr>
            <w:pStyle w:val="TM2"/>
            <w:tabs>
              <w:tab w:val="left" w:pos="660"/>
              <w:tab w:val="right" w:leader="dot" w:pos="9062"/>
            </w:tabs>
            <w:rPr>
              <w:noProof/>
            </w:rPr>
          </w:pPr>
          <w:hyperlink w:anchor="_Toc96519903" w:history="1">
            <w:r w:rsidR="003F2061" w:rsidRPr="004B3BBB">
              <w:rPr>
                <w:rStyle w:val="Lienhypertexte"/>
                <w:noProof/>
              </w:rPr>
              <w:t>a.</w:t>
            </w:r>
            <w:r w:rsidR="003F2061">
              <w:rPr>
                <w:noProof/>
              </w:rPr>
              <w:tab/>
            </w:r>
            <w:r w:rsidR="003F2061" w:rsidRPr="004B3BBB">
              <w:rPr>
                <w:rStyle w:val="Lienhypertexte"/>
                <w:noProof/>
              </w:rPr>
              <w:t>Octroi des subventions</w:t>
            </w:r>
            <w:r w:rsidR="003F2061">
              <w:rPr>
                <w:noProof/>
                <w:webHidden/>
              </w:rPr>
              <w:tab/>
            </w:r>
            <w:r w:rsidR="003F2061">
              <w:rPr>
                <w:noProof/>
                <w:webHidden/>
              </w:rPr>
              <w:fldChar w:fldCharType="begin"/>
            </w:r>
            <w:r w:rsidR="003F2061">
              <w:rPr>
                <w:noProof/>
                <w:webHidden/>
              </w:rPr>
              <w:instrText xml:space="preserve"> PAGEREF _Toc96519903 \h </w:instrText>
            </w:r>
            <w:r w:rsidR="003F2061">
              <w:rPr>
                <w:noProof/>
                <w:webHidden/>
              </w:rPr>
            </w:r>
            <w:r w:rsidR="003F2061">
              <w:rPr>
                <w:noProof/>
                <w:webHidden/>
              </w:rPr>
              <w:fldChar w:fldCharType="separate"/>
            </w:r>
            <w:r w:rsidR="00DC6572">
              <w:rPr>
                <w:noProof/>
                <w:webHidden/>
              </w:rPr>
              <w:t>8</w:t>
            </w:r>
            <w:r w:rsidR="003F2061">
              <w:rPr>
                <w:noProof/>
                <w:webHidden/>
              </w:rPr>
              <w:fldChar w:fldCharType="end"/>
            </w:r>
          </w:hyperlink>
        </w:p>
        <w:p w14:paraId="01D2EA9F" w14:textId="6C55E4FC" w:rsidR="003F2061" w:rsidRDefault="00000000">
          <w:pPr>
            <w:pStyle w:val="TM2"/>
            <w:tabs>
              <w:tab w:val="left" w:pos="660"/>
              <w:tab w:val="right" w:leader="dot" w:pos="9062"/>
            </w:tabs>
            <w:rPr>
              <w:noProof/>
            </w:rPr>
          </w:pPr>
          <w:hyperlink w:anchor="_Toc96519904" w:history="1">
            <w:r w:rsidR="003F2061" w:rsidRPr="004B3BBB">
              <w:rPr>
                <w:rStyle w:val="Lienhypertexte"/>
                <w:noProof/>
              </w:rPr>
              <w:t>b.</w:t>
            </w:r>
            <w:r w:rsidR="003F2061">
              <w:rPr>
                <w:noProof/>
              </w:rPr>
              <w:tab/>
            </w:r>
            <w:r w:rsidR="003F2061" w:rsidRPr="004B3BBB">
              <w:rPr>
                <w:rStyle w:val="Lienhypertexte"/>
                <w:noProof/>
              </w:rPr>
              <w:t>Justification technique et financière</w:t>
            </w:r>
            <w:r w:rsidR="003F2061">
              <w:rPr>
                <w:noProof/>
                <w:webHidden/>
              </w:rPr>
              <w:tab/>
            </w:r>
            <w:r w:rsidR="003F2061">
              <w:rPr>
                <w:noProof/>
                <w:webHidden/>
              </w:rPr>
              <w:fldChar w:fldCharType="begin"/>
            </w:r>
            <w:r w:rsidR="003F2061">
              <w:rPr>
                <w:noProof/>
                <w:webHidden/>
              </w:rPr>
              <w:instrText xml:space="preserve"> PAGEREF _Toc96519904 \h </w:instrText>
            </w:r>
            <w:r w:rsidR="003F2061">
              <w:rPr>
                <w:noProof/>
                <w:webHidden/>
              </w:rPr>
            </w:r>
            <w:r w:rsidR="003F2061">
              <w:rPr>
                <w:noProof/>
                <w:webHidden/>
              </w:rPr>
              <w:fldChar w:fldCharType="separate"/>
            </w:r>
            <w:r w:rsidR="00DC6572">
              <w:rPr>
                <w:noProof/>
                <w:webHidden/>
              </w:rPr>
              <w:t>9</w:t>
            </w:r>
            <w:r w:rsidR="003F2061">
              <w:rPr>
                <w:noProof/>
                <w:webHidden/>
              </w:rPr>
              <w:fldChar w:fldCharType="end"/>
            </w:r>
          </w:hyperlink>
        </w:p>
        <w:p w14:paraId="137F7C21" w14:textId="53A22C09" w:rsidR="003F2061" w:rsidRDefault="00000000">
          <w:pPr>
            <w:pStyle w:val="TM1"/>
            <w:tabs>
              <w:tab w:val="left" w:pos="660"/>
              <w:tab w:val="right" w:leader="dot" w:pos="9062"/>
            </w:tabs>
            <w:rPr>
              <w:rFonts w:asciiTheme="minorHAnsi" w:eastAsiaTheme="minorEastAsia" w:hAnsiTheme="minorHAnsi"/>
              <w:noProof/>
              <w:lang w:eastAsia="es-ES"/>
            </w:rPr>
          </w:pPr>
          <w:hyperlink w:anchor="_Toc96519905" w:history="1">
            <w:r w:rsidR="003F2061" w:rsidRPr="004B3BBB">
              <w:rPr>
                <w:rStyle w:val="Lienhypertexte"/>
                <w:noProof/>
              </w:rPr>
              <w:t>10.</w:t>
            </w:r>
            <w:r w:rsidR="003F2061">
              <w:rPr>
                <w:rFonts w:asciiTheme="minorHAnsi" w:eastAsiaTheme="minorEastAsia" w:hAnsiTheme="minorHAnsi"/>
                <w:noProof/>
                <w:lang w:eastAsia="es-ES"/>
              </w:rPr>
              <w:tab/>
            </w:r>
            <w:r w:rsidR="003F2061" w:rsidRPr="004B3BBB">
              <w:rPr>
                <w:rStyle w:val="Lienhypertexte"/>
                <w:noProof/>
              </w:rPr>
              <w:t>Communication</w:t>
            </w:r>
            <w:r w:rsidR="003F2061">
              <w:rPr>
                <w:noProof/>
                <w:webHidden/>
              </w:rPr>
              <w:tab/>
            </w:r>
            <w:r w:rsidR="003F2061">
              <w:rPr>
                <w:noProof/>
                <w:webHidden/>
              </w:rPr>
              <w:fldChar w:fldCharType="begin"/>
            </w:r>
            <w:r w:rsidR="003F2061">
              <w:rPr>
                <w:noProof/>
                <w:webHidden/>
              </w:rPr>
              <w:instrText xml:space="preserve"> PAGEREF _Toc96519905 \h </w:instrText>
            </w:r>
            <w:r w:rsidR="003F2061">
              <w:rPr>
                <w:noProof/>
                <w:webHidden/>
              </w:rPr>
            </w:r>
            <w:r w:rsidR="003F2061">
              <w:rPr>
                <w:noProof/>
                <w:webHidden/>
              </w:rPr>
              <w:fldChar w:fldCharType="separate"/>
            </w:r>
            <w:r w:rsidR="00DC6572">
              <w:rPr>
                <w:noProof/>
                <w:webHidden/>
              </w:rPr>
              <w:t>9</w:t>
            </w:r>
            <w:r w:rsidR="003F2061">
              <w:rPr>
                <w:noProof/>
                <w:webHidden/>
              </w:rPr>
              <w:fldChar w:fldCharType="end"/>
            </w:r>
          </w:hyperlink>
        </w:p>
        <w:p w14:paraId="1CC9B178" w14:textId="01A10851" w:rsidR="003F2061" w:rsidRDefault="00000000">
          <w:pPr>
            <w:pStyle w:val="TM1"/>
            <w:tabs>
              <w:tab w:val="left" w:pos="660"/>
              <w:tab w:val="right" w:leader="dot" w:pos="9062"/>
            </w:tabs>
            <w:rPr>
              <w:rFonts w:asciiTheme="minorHAnsi" w:eastAsiaTheme="minorEastAsia" w:hAnsiTheme="minorHAnsi"/>
              <w:noProof/>
              <w:lang w:eastAsia="es-ES"/>
            </w:rPr>
          </w:pPr>
          <w:hyperlink w:anchor="_Toc96519906" w:history="1">
            <w:r w:rsidR="003F2061" w:rsidRPr="004B3BBB">
              <w:rPr>
                <w:rStyle w:val="Lienhypertexte"/>
                <w:noProof/>
              </w:rPr>
              <w:t>11.</w:t>
            </w:r>
            <w:r w:rsidR="003F2061">
              <w:rPr>
                <w:rFonts w:asciiTheme="minorHAnsi" w:eastAsiaTheme="minorEastAsia" w:hAnsiTheme="minorHAnsi"/>
                <w:noProof/>
                <w:lang w:eastAsia="es-ES"/>
              </w:rPr>
              <w:tab/>
            </w:r>
            <w:r w:rsidR="003F2061" w:rsidRPr="004B3BBB">
              <w:rPr>
                <w:rStyle w:val="Lienhypertexte"/>
                <w:noProof/>
              </w:rPr>
              <w:t>Informations et contacts</w:t>
            </w:r>
            <w:r w:rsidR="003F2061">
              <w:rPr>
                <w:noProof/>
                <w:webHidden/>
              </w:rPr>
              <w:tab/>
            </w:r>
            <w:r w:rsidR="003F2061">
              <w:rPr>
                <w:noProof/>
                <w:webHidden/>
              </w:rPr>
              <w:fldChar w:fldCharType="begin"/>
            </w:r>
            <w:r w:rsidR="003F2061">
              <w:rPr>
                <w:noProof/>
                <w:webHidden/>
              </w:rPr>
              <w:instrText xml:space="preserve"> PAGEREF _Toc96519906 \h </w:instrText>
            </w:r>
            <w:r w:rsidR="003F2061">
              <w:rPr>
                <w:noProof/>
                <w:webHidden/>
              </w:rPr>
            </w:r>
            <w:r w:rsidR="003F2061">
              <w:rPr>
                <w:noProof/>
                <w:webHidden/>
              </w:rPr>
              <w:fldChar w:fldCharType="separate"/>
            </w:r>
            <w:r w:rsidR="00DC6572">
              <w:rPr>
                <w:noProof/>
                <w:webHidden/>
              </w:rPr>
              <w:t>10</w:t>
            </w:r>
            <w:r w:rsidR="003F2061">
              <w:rPr>
                <w:noProof/>
                <w:webHidden/>
              </w:rPr>
              <w:fldChar w:fldCharType="end"/>
            </w:r>
          </w:hyperlink>
        </w:p>
        <w:p w14:paraId="3466B7DB" w14:textId="00AA0AE9" w:rsidR="00256DFA" w:rsidRDefault="00256DFA">
          <w:r>
            <w:rPr>
              <w:b/>
              <w:bCs/>
              <w:lang w:val="fr-FR"/>
            </w:rPr>
            <w:fldChar w:fldCharType="end"/>
          </w:r>
        </w:p>
      </w:sdtContent>
    </w:sdt>
    <w:p w14:paraId="185CB229" w14:textId="77777777" w:rsidR="00256DFA" w:rsidRDefault="00256DFA">
      <w:pPr>
        <w:jc w:val="left"/>
      </w:pPr>
      <w:r>
        <w:br w:type="page"/>
      </w:r>
    </w:p>
    <w:p w14:paraId="3C0BBC98" w14:textId="77777777" w:rsidR="006673B7" w:rsidRDefault="006673B7">
      <w:pPr>
        <w:jc w:val="left"/>
      </w:pPr>
    </w:p>
    <w:p w14:paraId="1E281594" w14:textId="77777777" w:rsidR="009B67B8" w:rsidRDefault="009B67B8" w:rsidP="006673B7">
      <w:pPr>
        <w:rPr>
          <w:rFonts w:cstheme="minorHAnsi"/>
          <w:color w:val="242424"/>
          <w:shd w:val="clear" w:color="auto" w:fill="FFFFFF"/>
        </w:rPr>
      </w:pPr>
    </w:p>
    <w:p w14:paraId="15CBB2C3" w14:textId="77777777" w:rsidR="009B67B8" w:rsidRDefault="009B67B8" w:rsidP="006673B7">
      <w:pPr>
        <w:rPr>
          <w:rFonts w:cstheme="minorHAnsi"/>
          <w:color w:val="242424"/>
          <w:shd w:val="clear" w:color="auto" w:fill="FFFFFF"/>
        </w:rPr>
      </w:pPr>
    </w:p>
    <w:p w14:paraId="13DC594D" w14:textId="77777777" w:rsidR="009B67B8" w:rsidRDefault="009B67B8" w:rsidP="006673B7">
      <w:pPr>
        <w:rPr>
          <w:rFonts w:cstheme="minorHAnsi"/>
          <w:color w:val="242424"/>
          <w:shd w:val="clear" w:color="auto" w:fill="FFFFFF"/>
        </w:rPr>
      </w:pPr>
    </w:p>
    <w:p w14:paraId="7A75EA18" w14:textId="77777777" w:rsidR="004238D8" w:rsidRPr="0031363D" w:rsidRDefault="004238D8" w:rsidP="006E6DFF">
      <w:pPr>
        <w:pStyle w:val="Citation"/>
        <w:rPr>
          <w:lang w:val="fr-FR"/>
        </w:rPr>
      </w:pPr>
      <w:r w:rsidRPr="0031363D">
        <w:rPr>
          <w:lang w:val="fr-FR"/>
        </w:rPr>
        <w:t>Le GECT Eurorégion Nouvelle-Aquitaine Euskadi Navarre est un Groupement Européen de</w:t>
      </w:r>
      <w:r w:rsidRPr="0031363D">
        <w:rPr>
          <w:lang w:val="fr-FR"/>
        </w:rPr>
        <w:br/>
        <w:t>Coopération Territoriale créé le 12 décembre 2011. Il vise à promouvoir le</w:t>
      </w:r>
      <w:r w:rsidRPr="0031363D">
        <w:rPr>
          <w:lang w:val="fr-FR"/>
        </w:rPr>
        <w:br/>
        <w:t xml:space="preserve">développement économique, social et culturel du territoire transfrontalier et </w:t>
      </w:r>
      <w:proofErr w:type="spellStart"/>
      <w:r w:rsidRPr="0031363D">
        <w:rPr>
          <w:lang w:val="fr-FR"/>
        </w:rPr>
        <w:t>eurorégional</w:t>
      </w:r>
      <w:proofErr w:type="spellEnd"/>
      <w:r w:rsidRPr="0031363D">
        <w:rPr>
          <w:lang w:val="fr-FR"/>
        </w:rPr>
        <w:t xml:space="preserve"> tout en favorisant les échanges en son sein.</w:t>
      </w:r>
    </w:p>
    <w:p w14:paraId="30E1C446" w14:textId="77777777" w:rsidR="004238D8" w:rsidRPr="0031363D" w:rsidRDefault="004238D8" w:rsidP="004238D8">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rPr>
          <w:lang w:val="fr-FR"/>
        </w:rPr>
      </w:pPr>
    </w:p>
    <w:p w14:paraId="7AC79587" w14:textId="14F6F3B0" w:rsidR="009B67B8" w:rsidRPr="0031363D" w:rsidRDefault="006673B7" w:rsidP="004238D8">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rPr>
          <w:lang w:val="fr-FR"/>
        </w:rPr>
      </w:pPr>
      <w:r w:rsidRPr="0031363D">
        <w:rPr>
          <w:rFonts w:cstheme="minorHAnsi"/>
          <w:lang w:val="fr-FR"/>
        </w:rPr>
        <w:t xml:space="preserve">Les Appels à projets de l’Eurorégion permettent un soutien financier pour promouvoir les actions de </w:t>
      </w:r>
      <w:r w:rsidR="00B71E7F" w:rsidRPr="0031363D">
        <w:rPr>
          <w:rFonts w:cstheme="minorHAnsi"/>
          <w:lang w:val="fr-FR"/>
        </w:rPr>
        <w:t>coopération</w:t>
      </w:r>
      <w:r w:rsidRPr="0031363D">
        <w:rPr>
          <w:rFonts w:cstheme="minorHAnsi"/>
          <w:lang w:val="fr-FR"/>
        </w:rPr>
        <w:t xml:space="preserve"> entre partenaires </w:t>
      </w:r>
      <w:r w:rsidR="00B71E7F" w:rsidRPr="0031363D">
        <w:rPr>
          <w:rFonts w:cstheme="minorHAnsi"/>
          <w:lang w:val="fr-FR"/>
        </w:rPr>
        <w:t>situés</w:t>
      </w:r>
      <w:r w:rsidRPr="0031363D">
        <w:rPr>
          <w:rFonts w:cstheme="minorHAnsi"/>
          <w:lang w:val="fr-FR"/>
        </w:rPr>
        <w:t xml:space="preserve"> sur les territoires de la </w:t>
      </w:r>
      <w:r w:rsidR="00B71E7F" w:rsidRPr="0031363D">
        <w:rPr>
          <w:rFonts w:cstheme="minorHAnsi"/>
          <w:lang w:val="fr-FR"/>
        </w:rPr>
        <w:t>Région</w:t>
      </w:r>
      <w:r w:rsidRPr="0031363D">
        <w:rPr>
          <w:rFonts w:cstheme="minorHAnsi"/>
          <w:lang w:val="fr-FR"/>
        </w:rPr>
        <w:t xml:space="preserve"> Nouvelle-Aquitaine, de la </w:t>
      </w:r>
      <w:r w:rsidR="00B71E7F" w:rsidRPr="0031363D">
        <w:rPr>
          <w:rFonts w:cstheme="minorHAnsi"/>
          <w:lang w:val="fr-FR"/>
        </w:rPr>
        <w:t>Communauté</w:t>
      </w:r>
      <w:r w:rsidRPr="0031363D">
        <w:rPr>
          <w:rFonts w:cstheme="minorHAnsi"/>
          <w:lang w:val="fr-FR"/>
        </w:rPr>
        <w:t xml:space="preserve">́ Autonome d’Euskadi et de la </w:t>
      </w:r>
      <w:r w:rsidR="00B71E7F" w:rsidRPr="0031363D">
        <w:rPr>
          <w:rFonts w:cstheme="minorHAnsi"/>
          <w:lang w:val="fr-FR"/>
        </w:rPr>
        <w:t>Communauté</w:t>
      </w:r>
      <w:r w:rsidRPr="0031363D">
        <w:rPr>
          <w:rFonts w:cstheme="minorHAnsi"/>
          <w:lang w:val="fr-FR"/>
        </w:rPr>
        <w:t>́ Forale de Navarre</w:t>
      </w:r>
      <w:r w:rsidR="009B67B8" w:rsidRPr="0031363D">
        <w:rPr>
          <w:rFonts w:cstheme="minorHAnsi"/>
          <w:lang w:val="fr-FR"/>
        </w:rPr>
        <w:t xml:space="preserve">. </w:t>
      </w:r>
    </w:p>
    <w:p w14:paraId="546E2FF9" w14:textId="77777777" w:rsidR="009B67B8" w:rsidRPr="0031363D" w:rsidRDefault="009B67B8" w:rsidP="006673B7">
      <w:pPr>
        <w:rPr>
          <w:rFonts w:cstheme="minorHAnsi"/>
          <w:lang w:val="fr-FR"/>
        </w:rPr>
      </w:pPr>
    </w:p>
    <w:p w14:paraId="00E80544" w14:textId="77777777" w:rsidR="009B67B8" w:rsidRPr="0031363D" w:rsidRDefault="009B67B8" w:rsidP="006673B7">
      <w:pPr>
        <w:rPr>
          <w:rFonts w:cstheme="minorHAnsi"/>
          <w:lang w:val="fr-FR"/>
        </w:rPr>
      </w:pPr>
    </w:p>
    <w:p w14:paraId="13FE019D" w14:textId="21C0388C" w:rsidR="006673B7" w:rsidRPr="006673B7" w:rsidRDefault="006673B7" w:rsidP="006673B7">
      <w:pPr>
        <w:pStyle w:val="Titre1"/>
      </w:pPr>
      <w:bookmarkStart w:id="0" w:name="_Toc96519891"/>
      <w:r w:rsidRPr="006673B7">
        <w:t>Objet</w:t>
      </w:r>
      <w:bookmarkEnd w:id="0"/>
    </w:p>
    <w:p w14:paraId="5AA103C2" w14:textId="5B0B97B7" w:rsidR="006673B7" w:rsidRPr="009B410E" w:rsidRDefault="006673B7" w:rsidP="006673B7">
      <w:pPr>
        <w:rPr>
          <w:rFonts w:cstheme="minorHAnsi"/>
          <w:lang w:val="fr-FR"/>
        </w:rPr>
      </w:pPr>
      <w:r w:rsidRPr="0031363D">
        <w:rPr>
          <w:rFonts w:cstheme="minorHAnsi"/>
          <w:lang w:val="fr-FR"/>
        </w:rPr>
        <w:t xml:space="preserve">Le présent </w:t>
      </w:r>
      <w:r w:rsidRPr="009B410E">
        <w:rPr>
          <w:rFonts w:cstheme="minorHAnsi"/>
          <w:lang w:val="fr-FR"/>
        </w:rPr>
        <w:t>document vise à définir les modalités de l’Appel à projets « </w:t>
      </w:r>
      <w:r w:rsidR="007A3BE1" w:rsidRPr="009B410E">
        <w:rPr>
          <w:rFonts w:cstheme="minorHAnsi"/>
          <w:lang w:val="fr-FR"/>
        </w:rPr>
        <w:t xml:space="preserve">Innovation </w:t>
      </w:r>
      <w:r w:rsidRPr="009B410E">
        <w:rPr>
          <w:rFonts w:cstheme="minorHAnsi"/>
          <w:lang w:val="fr-FR"/>
        </w:rPr>
        <w:t xml:space="preserve">Eurorégionale » 2022. </w:t>
      </w:r>
    </w:p>
    <w:p w14:paraId="6E1A0E41" w14:textId="04C1F86C" w:rsidR="006673B7" w:rsidRPr="009B410E" w:rsidRDefault="006673B7" w:rsidP="006673B7">
      <w:pPr>
        <w:pStyle w:val="NormalWeb"/>
        <w:shd w:val="clear" w:color="auto" w:fill="FFFFFF"/>
        <w:spacing w:before="0" w:beforeAutospacing="0" w:after="0" w:afterAutospacing="0"/>
        <w:jc w:val="both"/>
        <w:rPr>
          <w:rFonts w:ascii="Roboto" w:hAnsi="Roboto" w:cstheme="minorHAnsi"/>
          <w:color w:val="242424"/>
          <w:sz w:val="22"/>
          <w:szCs w:val="22"/>
        </w:rPr>
      </w:pPr>
      <w:r w:rsidRPr="009B410E">
        <w:rPr>
          <w:rFonts w:ascii="Roboto" w:hAnsi="Roboto" w:cstheme="minorHAnsi"/>
          <w:color w:val="242424"/>
          <w:sz w:val="22"/>
          <w:szCs w:val="22"/>
        </w:rPr>
        <w:t>L’Eurorégion Nouvelle-Aquitaine Euskadi Navarre, à travers son Appel à projets transfrontalier dédié à l</w:t>
      </w:r>
      <w:r w:rsidR="004467AD" w:rsidRPr="009B410E">
        <w:rPr>
          <w:rFonts w:ascii="Roboto" w:hAnsi="Roboto" w:cstheme="minorHAnsi"/>
          <w:color w:val="242424"/>
          <w:sz w:val="22"/>
          <w:szCs w:val="22"/>
        </w:rPr>
        <w:t xml:space="preserve">’Innovation </w:t>
      </w:r>
      <w:r w:rsidRPr="009B410E">
        <w:rPr>
          <w:rFonts w:ascii="Roboto" w:hAnsi="Roboto" w:cstheme="minorHAnsi"/>
          <w:color w:val="242424"/>
          <w:sz w:val="22"/>
          <w:szCs w:val="22"/>
        </w:rPr>
        <w:t xml:space="preserve">Eurorégionale, </w:t>
      </w:r>
      <w:r w:rsidR="00674F6C" w:rsidRPr="009B410E">
        <w:rPr>
          <w:rFonts w:ascii="Roboto" w:hAnsi="Roboto" w:cstheme="minorHAnsi"/>
          <w:color w:val="242424"/>
          <w:sz w:val="22"/>
          <w:szCs w:val="22"/>
        </w:rPr>
        <w:t>soutien</w:t>
      </w:r>
      <w:r w:rsidR="00AA04D9" w:rsidRPr="009B410E">
        <w:rPr>
          <w:rFonts w:ascii="Roboto" w:hAnsi="Roboto" w:cstheme="minorHAnsi"/>
          <w:color w:val="242424"/>
          <w:sz w:val="22"/>
          <w:szCs w:val="22"/>
        </w:rPr>
        <w:t xml:space="preserve">t des </w:t>
      </w:r>
      <w:r w:rsidRPr="009B410E">
        <w:rPr>
          <w:rFonts w:ascii="Roboto" w:hAnsi="Roboto" w:cstheme="minorHAnsi"/>
          <w:color w:val="242424"/>
          <w:sz w:val="22"/>
          <w:szCs w:val="22"/>
        </w:rPr>
        <w:t xml:space="preserve">projets et </w:t>
      </w:r>
      <w:r w:rsidR="00AA04D9" w:rsidRPr="009B410E">
        <w:rPr>
          <w:rFonts w:ascii="Roboto" w:hAnsi="Roboto" w:cstheme="minorHAnsi"/>
          <w:color w:val="242424"/>
          <w:sz w:val="22"/>
          <w:szCs w:val="22"/>
        </w:rPr>
        <w:t>d</w:t>
      </w:r>
      <w:r w:rsidRPr="009B410E">
        <w:rPr>
          <w:rFonts w:ascii="Roboto" w:hAnsi="Roboto" w:cstheme="minorHAnsi"/>
          <w:color w:val="242424"/>
          <w:sz w:val="22"/>
          <w:szCs w:val="22"/>
        </w:rPr>
        <w:t xml:space="preserve">es acteurs </w:t>
      </w:r>
      <w:r w:rsidR="00AA04D9" w:rsidRPr="009B410E">
        <w:rPr>
          <w:rFonts w:ascii="Roboto" w:hAnsi="Roboto" w:cstheme="minorHAnsi"/>
          <w:color w:val="242424"/>
          <w:sz w:val="22"/>
          <w:szCs w:val="22"/>
        </w:rPr>
        <w:t>dans des secteurs stratégiques et émergents de s</w:t>
      </w:r>
      <w:r w:rsidR="00A00682" w:rsidRPr="009B410E">
        <w:rPr>
          <w:rFonts w:ascii="Roboto" w:hAnsi="Roboto" w:cstheme="minorHAnsi"/>
          <w:color w:val="242424"/>
          <w:sz w:val="22"/>
          <w:szCs w:val="22"/>
        </w:rPr>
        <w:t xml:space="preserve">pécialisation intelligente communs aux trois territoires. L’objectif est de contribuer au développement d’une économie </w:t>
      </w:r>
      <w:proofErr w:type="spellStart"/>
      <w:r w:rsidR="00A00682" w:rsidRPr="009B410E">
        <w:rPr>
          <w:rFonts w:ascii="Roboto" w:hAnsi="Roboto" w:cstheme="minorHAnsi"/>
          <w:color w:val="242424"/>
          <w:sz w:val="22"/>
          <w:szCs w:val="22"/>
        </w:rPr>
        <w:t>eurorégionale</w:t>
      </w:r>
      <w:proofErr w:type="spellEnd"/>
      <w:r w:rsidR="00A00682" w:rsidRPr="009B410E">
        <w:rPr>
          <w:rFonts w:ascii="Roboto" w:hAnsi="Roboto" w:cstheme="minorHAnsi"/>
          <w:color w:val="242424"/>
          <w:sz w:val="22"/>
          <w:szCs w:val="22"/>
        </w:rPr>
        <w:t xml:space="preserve"> compétitive et numér</w:t>
      </w:r>
      <w:r w:rsidR="00F81209" w:rsidRPr="009B410E">
        <w:rPr>
          <w:rFonts w:ascii="Roboto" w:hAnsi="Roboto" w:cstheme="minorHAnsi"/>
          <w:color w:val="242424"/>
          <w:sz w:val="22"/>
          <w:szCs w:val="22"/>
        </w:rPr>
        <w:t>ique</w:t>
      </w:r>
      <w:r w:rsidR="00A00682" w:rsidRPr="009B410E">
        <w:rPr>
          <w:rFonts w:ascii="Roboto" w:hAnsi="Roboto" w:cstheme="minorHAnsi"/>
          <w:color w:val="242424"/>
          <w:sz w:val="22"/>
          <w:szCs w:val="22"/>
        </w:rPr>
        <w:t xml:space="preserve"> par la mise en œuvre de projets collaboratifs, basés sur la mise à profit des complémentarités et des synergies des trois territoires. </w:t>
      </w:r>
    </w:p>
    <w:p w14:paraId="78A1B937" w14:textId="77777777" w:rsidR="006673B7" w:rsidRPr="009B410E" w:rsidRDefault="006673B7" w:rsidP="006673B7">
      <w:pPr>
        <w:pStyle w:val="NormalWeb"/>
        <w:shd w:val="clear" w:color="auto" w:fill="FFFFFF"/>
        <w:spacing w:before="0" w:beforeAutospacing="0" w:after="0" w:afterAutospacing="0"/>
        <w:jc w:val="both"/>
        <w:rPr>
          <w:rFonts w:ascii="Roboto" w:hAnsi="Roboto" w:cstheme="minorHAnsi"/>
          <w:color w:val="242424"/>
          <w:sz w:val="22"/>
          <w:szCs w:val="22"/>
        </w:rPr>
      </w:pPr>
    </w:p>
    <w:p w14:paraId="6F4B5881" w14:textId="305263A2" w:rsidR="006673B7" w:rsidRPr="006673B7" w:rsidRDefault="006673B7" w:rsidP="006673B7">
      <w:pPr>
        <w:pStyle w:val="Default"/>
        <w:rPr>
          <w:rFonts w:ascii="Roboto" w:hAnsi="Roboto" w:cstheme="minorHAnsi"/>
          <w:sz w:val="22"/>
          <w:szCs w:val="22"/>
        </w:rPr>
      </w:pPr>
      <w:r w:rsidRPr="009B410E">
        <w:rPr>
          <w:rFonts w:ascii="Roboto" w:hAnsi="Roboto" w:cstheme="minorHAnsi"/>
          <w:color w:val="242424"/>
          <w:sz w:val="22"/>
          <w:szCs w:val="22"/>
        </w:rPr>
        <w:t>Cette procédure de soutien aux acteurs de la coopération entre les trois territoires est dotée d’une enveloppe </w:t>
      </w:r>
      <w:r w:rsidRPr="009B410E">
        <w:rPr>
          <w:rFonts w:ascii="Roboto" w:hAnsi="Roboto" w:cstheme="minorHAnsi"/>
          <w:b/>
          <w:bCs/>
          <w:color w:val="242424"/>
          <w:sz w:val="22"/>
          <w:szCs w:val="22"/>
        </w:rPr>
        <w:t xml:space="preserve">de </w:t>
      </w:r>
      <w:r w:rsidR="00A00682" w:rsidRPr="009B410E">
        <w:rPr>
          <w:rFonts w:ascii="Roboto" w:hAnsi="Roboto" w:cstheme="minorHAnsi"/>
          <w:b/>
          <w:bCs/>
          <w:color w:val="242424"/>
          <w:sz w:val="22"/>
          <w:szCs w:val="22"/>
        </w:rPr>
        <w:t>4</w:t>
      </w:r>
      <w:r w:rsidRPr="009B410E">
        <w:rPr>
          <w:rFonts w:ascii="Roboto" w:hAnsi="Roboto" w:cstheme="minorHAnsi"/>
          <w:b/>
          <w:bCs/>
          <w:color w:val="242424"/>
          <w:sz w:val="22"/>
          <w:szCs w:val="22"/>
        </w:rPr>
        <w:t xml:space="preserve">00 000 €. </w:t>
      </w:r>
      <w:r w:rsidRPr="009B410E">
        <w:rPr>
          <w:rFonts w:ascii="Roboto" w:hAnsi="Roboto" w:cstheme="minorHAnsi"/>
          <w:sz w:val="22"/>
          <w:szCs w:val="22"/>
        </w:rPr>
        <w:t>La dotation globale de cet Appel à projets est inscrite au budget primitif du GECT pour l’année 2022.</w:t>
      </w:r>
      <w:r w:rsidRPr="006673B7">
        <w:rPr>
          <w:rFonts w:ascii="Roboto" w:hAnsi="Roboto" w:cstheme="minorHAnsi"/>
          <w:sz w:val="22"/>
          <w:szCs w:val="22"/>
        </w:rPr>
        <w:t xml:space="preserve"> </w:t>
      </w:r>
    </w:p>
    <w:p w14:paraId="388F51DD" w14:textId="77777777" w:rsidR="006673B7" w:rsidRPr="006673B7" w:rsidRDefault="006673B7" w:rsidP="006673B7">
      <w:pPr>
        <w:pStyle w:val="Default"/>
        <w:jc w:val="both"/>
        <w:rPr>
          <w:rFonts w:ascii="Roboto" w:hAnsi="Roboto" w:cstheme="minorHAnsi"/>
          <w:sz w:val="22"/>
          <w:szCs w:val="22"/>
        </w:rPr>
      </w:pPr>
    </w:p>
    <w:p w14:paraId="6D444EA5" w14:textId="16D8BB88" w:rsidR="00FB34B2" w:rsidRDefault="006673B7" w:rsidP="006673B7">
      <w:pPr>
        <w:pStyle w:val="Default"/>
        <w:jc w:val="both"/>
        <w:rPr>
          <w:rFonts w:ascii="Roboto" w:hAnsi="Roboto" w:cstheme="minorHAnsi"/>
          <w:b/>
          <w:bCs/>
          <w:sz w:val="22"/>
          <w:szCs w:val="22"/>
        </w:rPr>
      </w:pPr>
      <w:r w:rsidRPr="006673B7">
        <w:rPr>
          <w:rFonts w:ascii="Roboto" w:hAnsi="Roboto" w:cstheme="minorHAnsi"/>
          <w:sz w:val="22"/>
          <w:szCs w:val="22"/>
        </w:rPr>
        <w:t xml:space="preserve">L’Appel à projets a pour objet de soutenir des initiatives ayant un caractère véritablement trilatéral dès sa genèse avec </w:t>
      </w:r>
      <w:r w:rsidRPr="006673B7">
        <w:rPr>
          <w:rFonts w:ascii="Roboto" w:hAnsi="Roboto" w:cstheme="minorHAnsi"/>
          <w:b/>
          <w:bCs/>
          <w:sz w:val="22"/>
          <w:szCs w:val="22"/>
        </w:rPr>
        <w:t xml:space="preserve">au moins un partenaire issu de chacun des territoires membres du GECT. </w:t>
      </w:r>
    </w:p>
    <w:p w14:paraId="139F059C" w14:textId="77777777" w:rsidR="00FB34B2" w:rsidRDefault="00FB34B2">
      <w:pPr>
        <w:jc w:val="left"/>
        <w:rPr>
          <w:rFonts w:cstheme="minorHAnsi"/>
          <w:b/>
          <w:bCs/>
          <w:color w:val="000000"/>
          <w:lang w:val="fr-FR"/>
        </w:rPr>
      </w:pPr>
      <w:r w:rsidRPr="0031363D">
        <w:rPr>
          <w:rFonts w:cstheme="minorHAnsi"/>
          <w:b/>
          <w:bCs/>
          <w:lang w:val="fr-FR"/>
        </w:rPr>
        <w:br w:type="page"/>
      </w:r>
    </w:p>
    <w:p w14:paraId="09500551" w14:textId="7C559DE7" w:rsidR="000051EE" w:rsidRDefault="00256DFA" w:rsidP="006673B7">
      <w:pPr>
        <w:pStyle w:val="Titre1"/>
        <w:rPr>
          <w:lang w:val="fr-FR"/>
        </w:rPr>
      </w:pPr>
      <w:bookmarkStart w:id="1" w:name="_Toc96519892"/>
      <w:r>
        <w:rPr>
          <w:lang w:val="fr-FR"/>
        </w:rPr>
        <w:lastRenderedPageBreak/>
        <w:t>T</w:t>
      </w:r>
      <w:r w:rsidR="006673B7">
        <w:rPr>
          <w:lang w:val="fr-FR"/>
        </w:rPr>
        <w:t>erritoires éligibles</w:t>
      </w:r>
      <w:bookmarkEnd w:id="1"/>
      <w:r w:rsidR="006673B7">
        <w:rPr>
          <w:lang w:val="fr-FR"/>
        </w:rPr>
        <w:t xml:space="preserve"> </w:t>
      </w:r>
    </w:p>
    <w:p w14:paraId="62D5B175" w14:textId="77777777" w:rsidR="00FB34B2" w:rsidRPr="0031363D" w:rsidRDefault="00AA13BB" w:rsidP="00AA13BB">
      <w:pPr>
        <w:rPr>
          <w:lang w:val="fr-FR"/>
        </w:rPr>
      </w:pPr>
      <w:r w:rsidRPr="0031363D">
        <w:rPr>
          <w:lang w:val="fr-FR"/>
        </w:rPr>
        <w:t>Les partenaires issus des trois territoires de l’Eurorégion (Nouvelle-Aquitaine, Euskadi, Navarre) sont éligibles</w:t>
      </w:r>
      <w:r w:rsidR="00FB34B2" w:rsidRPr="0031363D">
        <w:rPr>
          <w:lang w:val="fr-FR"/>
        </w:rPr>
        <w:t xml:space="preserve">. </w:t>
      </w:r>
    </w:p>
    <w:p w14:paraId="2A46CBF5" w14:textId="110C93C8" w:rsidR="00AA13BB" w:rsidRPr="0031363D" w:rsidRDefault="00FB34B2" w:rsidP="00AA13BB">
      <w:pPr>
        <w:rPr>
          <w:lang w:val="fr-FR"/>
        </w:rPr>
      </w:pPr>
      <w:r w:rsidRPr="009B67B8">
        <w:rPr>
          <w:noProof/>
          <w:lang w:val="fr-FR" w:eastAsia="fr-FR"/>
        </w:rPr>
        <w:drawing>
          <wp:inline distT="0" distB="0" distL="0" distR="0" wp14:anchorId="2A8E286A" wp14:editId="122A91A8">
            <wp:extent cx="5809129" cy="5300702"/>
            <wp:effectExtent l="0" t="0" r="1270" b="0"/>
            <wp:docPr id="3" name="Image 3"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cart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28866" cy="5318711"/>
                    </a:xfrm>
                    <a:prstGeom prst="rect">
                      <a:avLst/>
                    </a:prstGeom>
                  </pic:spPr>
                </pic:pic>
              </a:graphicData>
            </a:graphic>
          </wp:inline>
        </w:drawing>
      </w:r>
      <w:r w:rsidR="00AA13BB" w:rsidRPr="0031363D">
        <w:rPr>
          <w:lang w:val="fr-FR"/>
        </w:rPr>
        <w:t xml:space="preserve"> </w:t>
      </w:r>
    </w:p>
    <w:p w14:paraId="6C14E6A8" w14:textId="77777777" w:rsidR="009B67B8" w:rsidRPr="0031363D" w:rsidRDefault="009B67B8" w:rsidP="00FC1F55">
      <w:pPr>
        <w:rPr>
          <w:rStyle w:val="markedcontent"/>
          <w:rFonts w:cstheme="minorHAnsi"/>
          <w:lang w:val="fr-FR"/>
        </w:rPr>
      </w:pPr>
    </w:p>
    <w:p w14:paraId="61712FF2" w14:textId="3066A000" w:rsidR="009B67B8" w:rsidRPr="0031363D" w:rsidRDefault="00FC1F55" w:rsidP="00FC1F55">
      <w:pPr>
        <w:rPr>
          <w:rStyle w:val="markedcontent"/>
          <w:rFonts w:cstheme="minorHAnsi"/>
          <w:lang w:val="fr-FR"/>
        </w:rPr>
      </w:pPr>
      <w:r w:rsidRPr="0031363D">
        <w:rPr>
          <w:rStyle w:val="markedcontent"/>
          <w:rFonts w:cstheme="minorHAnsi"/>
          <w:lang w:val="fr-FR"/>
        </w:rPr>
        <w:t>D'autres partenaires situés en dehors des territoires éligibles peuvent faire partie du</w:t>
      </w:r>
      <w:r w:rsidRPr="0031363D">
        <w:rPr>
          <w:rFonts w:cstheme="minorHAnsi"/>
          <w:lang w:val="fr-FR"/>
        </w:rPr>
        <w:t xml:space="preserve"> </w:t>
      </w:r>
      <w:r w:rsidRPr="0031363D">
        <w:rPr>
          <w:rStyle w:val="markedcontent"/>
          <w:rFonts w:cstheme="minorHAnsi"/>
          <w:lang w:val="fr-FR"/>
        </w:rPr>
        <w:t>partenariat et seront considérés comme des partenaires associés, mais ils ne</w:t>
      </w:r>
      <w:r w:rsidRPr="0031363D">
        <w:rPr>
          <w:rFonts w:cstheme="minorHAnsi"/>
          <w:lang w:val="fr-FR"/>
        </w:rPr>
        <w:t xml:space="preserve"> </w:t>
      </w:r>
      <w:r w:rsidRPr="0031363D">
        <w:rPr>
          <w:rStyle w:val="markedcontent"/>
          <w:rFonts w:cstheme="minorHAnsi"/>
          <w:lang w:val="fr-FR"/>
        </w:rPr>
        <w:t>peuvent pas être bénéficiaires des subventions.</w:t>
      </w:r>
    </w:p>
    <w:p w14:paraId="6E4FDA7E" w14:textId="77777777" w:rsidR="009B67B8" w:rsidRPr="0031363D" w:rsidRDefault="009B67B8">
      <w:pPr>
        <w:jc w:val="left"/>
        <w:rPr>
          <w:rStyle w:val="markedcontent"/>
          <w:rFonts w:cstheme="minorHAnsi"/>
          <w:lang w:val="fr-FR"/>
        </w:rPr>
      </w:pPr>
      <w:r w:rsidRPr="0031363D">
        <w:rPr>
          <w:rStyle w:val="markedcontent"/>
          <w:rFonts w:cstheme="minorHAnsi"/>
          <w:lang w:val="fr-FR"/>
        </w:rPr>
        <w:br w:type="page"/>
      </w:r>
    </w:p>
    <w:p w14:paraId="3D7AEFB0" w14:textId="796BE07C" w:rsidR="006673B7" w:rsidRDefault="00FC1F55" w:rsidP="00FC1F55">
      <w:pPr>
        <w:pStyle w:val="Titre1"/>
        <w:rPr>
          <w:lang w:val="fr-FR"/>
        </w:rPr>
      </w:pPr>
      <w:bookmarkStart w:id="2" w:name="_Toc96519893"/>
      <w:r>
        <w:rPr>
          <w:lang w:val="fr-FR"/>
        </w:rPr>
        <w:lastRenderedPageBreak/>
        <w:t>Thématiques</w:t>
      </w:r>
      <w:bookmarkEnd w:id="2"/>
    </w:p>
    <w:p w14:paraId="454AD8AD" w14:textId="7436EAAF" w:rsidR="009B67B8" w:rsidRPr="009B410E" w:rsidRDefault="009B67B8" w:rsidP="009B67B8">
      <w:pPr>
        <w:rPr>
          <w:lang w:val="fr-FR"/>
        </w:rPr>
      </w:pPr>
      <w:r w:rsidRPr="0031363D">
        <w:rPr>
          <w:lang w:val="fr-FR"/>
        </w:rPr>
        <w:t xml:space="preserve">Les thématiques de cet Appel à projets correspondent </w:t>
      </w:r>
      <w:r w:rsidRPr="009B410E">
        <w:rPr>
          <w:lang w:val="fr-FR"/>
        </w:rPr>
        <w:t xml:space="preserve">au </w:t>
      </w:r>
      <w:r w:rsidR="007A1472" w:rsidRPr="00776866">
        <w:rPr>
          <w:lang w:val="fr-FR"/>
        </w:rPr>
        <w:t>deuxième</w:t>
      </w:r>
      <w:r w:rsidRPr="009B410E">
        <w:rPr>
          <w:lang w:val="fr-FR"/>
        </w:rPr>
        <w:t xml:space="preserve"> axe de travail du Plan Stratégique de l’Eurorégion 2021-2027, « </w:t>
      </w:r>
      <w:r w:rsidR="00337D1D" w:rsidRPr="00776866">
        <w:rPr>
          <w:lang w:val="fr-FR"/>
        </w:rPr>
        <w:t xml:space="preserve">Développement </w:t>
      </w:r>
      <w:r w:rsidR="002D0A9F" w:rsidRPr="009B410E">
        <w:rPr>
          <w:lang w:val="fr-FR"/>
        </w:rPr>
        <w:t>innovant</w:t>
      </w:r>
      <w:r w:rsidR="00337D1D" w:rsidRPr="00776866">
        <w:rPr>
          <w:lang w:val="fr-FR"/>
        </w:rPr>
        <w:t>, compétitif, inclusif et durable</w:t>
      </w:r>
      <w:r w:rsidRPr="009B410E">
        <w:rPr>
          <w:lang w:val="fr-FR"/>
        </w:rPr>
        <w:t xml:space="preserve"> » : </w:t>
      </w:r>
      <w:hyperlink r:id="rId12" w:history="1">
        <w:r w:rsidRPr="009B410E">
          <w:rPr>
            <w:rStyle w:val="Lienhypertexte"/>
            <w:lang w:val="fr-FR"/>
          </w:rPr>
          <w:t>https://www.euroregion-naen.eu/wp-content/uploads/2019/12/PS_FRA_site_.pdf</w:t>
        </w:r>
      </w:hyperlink>
      <w:r w:rsidRPr="009B410E">
        <w:rPr>
          <w:lang w:val="fr-FR"/>
        </w:rPr>
        <w:t xml:space="preserve"> </w:t>
      </w:r>
      <w:r w:rsidR="004578A0">
        <w:rPr>
          <w:lang w:val="fr-FR"/>
        </w:rPr>
        <w:t xml:space="preserve">. </w:t>
      </w:r>
      <w:r w:rsidR="00696429" w:rsidRPr="00776866">
        <w:rPr>
          <w:lang w:val="fr-FR"/>
        </w:rPr>
        <w:t xml:space="preserve">La stratégie </w:t>
      </w:r>
      <w:proofErr w:type="spellStart"/>
      <w:r w:rsidR="00696429" w:rsidRPr="00776866">
        <w:rPr>
          <w:lang w:val="fr-FR"/>
        </w:rPr>
        <w:t>eurorégionale</w:t>
      </w:r>
      <w:proofErr w:type="spellEnd"/>
      <w:r w:rsidR="00696429" w:rsidRPr="00776866">
        <w:rPr>
          <w:lang w:val="fr-FR"/>
        </w:rPr>
        <w:t xml:space="preserve"> a permis d'identifier 6 secteurs stratégiques qui convergent avec les stratégies de spécialisation intelligente (RIS4) des trois territoires</w:t>
      </w:r>
      <w:r w:rsidRPr="00776866">
        <w:rPr>
          <w:lang w:val="fr-FR"/>
        </w:rPr>
        <w:t xml:space="preserve">, </w:t>
      </w:r>
      <w:r w:rsidR="004578A0">
        <w:rPr>
          <w:lang w:val="fr-FR"/>
        </w:rPr>
        <w:t>à savoir</w:t>
      </w:r>
      <w:r w:rsidRPr="00776866">
        <w:rPr>
          <w:lang w:val="fr-FR"/>
        </w:rPr>
        <w:t> :</w:t>
      </w:r>
    </w:p>
    <w:p w14:paraId="599FA427" w14:textId="7E1804B6" w:rsidR="006B69EF" w:rsidRPr="00776866" w:rsidRDefault="00385755" w:rsidP="006B69EF">
      <w:pPr>
        <w:pStyle w:val="Paragraphedeliste"/>
        <w:numPr>
          <w:ilvl w:val="0"/>
          <w:numId w:val="4"/>
        </w:numPr>
        <w:rPr>
          <w:rFonts w:ascii="Roboto" w:hAnsi="Roboto"/>
        </w:rPr>
      </w:pPr>
      <w:r w:rsidRPr="00776866">
        <w:rPr>
          <w:rFonts w:ascii="Roboto" w:hAnsi="Roboto"/>
        </w:rPr>
        <w:t xml:space="preserve">Biosciences, </w:t>
      </w:r>
      <w:r w:rsidR="004578A0">
        <w:rPr>
          <w:rFonts w:ascii="Roboto" w:hAnsi="Roboto"/>
        </w:rPr>
        <w:t>s</w:t>
      </w:r>
      <w:r w:rsidRPr="00776866">
        <w:rPr>
          <w:rFonts w:ascii="Roboto" w:hAnsi="Roboto"/>
        </w:rPr>
        <w:t xml:space="preserve">anté, </w:t>
      </w:r>
      <w:r w:rsidR="00CB0298" w:rsidRPr="00776866">
        <w:rPr>
          <w:rFonts w:ascii="Roboto" w:hAnsi="Roboto"/>
        </w:rPr>
        <w:t>S</w:t>
      </w:r>
      <w:r w:rsidRPr="00776866">
        <w:rPr>
          <w:rFonts w:ascii="Roboto" w:hAnsi="Roboto"/>
        </w:rPr>
        <w:t xml:space="preserve">ilver </w:t>
      </w:r>
      <w:r w:rsidR="00CB0298" w:rsidRPr="00776866">
        <w:rPr>
          <w:rFonts w:ascii="Roboto" w:hAnsi="Roboto"/>
        </w:rPr>
        <w:t>E</w:t>
      </w:r>
      <w:r w:rsidRPr="00776866">
        <w:rPr>
          <w:rFonts w:ascii="Roboto" w:hAnsi="Roboto"/>
        </w:rPr>
        <w:t>conomy</w:t>
      </w:r>
      <w:r w:rsidR="006B69EF" w:rsidRPr="00776866">
        <w:rPr>
          <w:rFonts w:ascii="Roboto" w:hAnsi="Roboto"/>
        </w:rPr>
        <w:t> </w:t>
      </w:r>
    </w:p>
    <w:p w14:paraId="1FFA0246" w14:textId="634ADE9A" w:rsidR="006B69EF" w:rsidRPr="00776866" w:rsidRDefault="00CB0298" w:rsidP="006B69EF">
      <w:pPr>
        <w:pStyle w:val="Paragraphedeliste"/>
        <w:numPr>
          <w:ilvl w:val="0"/>
          <w:numId w:val="4"/>
        </w:numPr>
        <w:rPr>
          <w:rFonts w:ascii="Roboto" w:hAnsi="Roboto"/>
        </w:rPr>
      </w:pPr>
      <w:r w:rsidRPr="00776866">
        <w:rPr>
          <w:rFonts w:ascii="Roboto" w:hAnsi="Roboto"/>
        </w:rPr>
        <w:t>Fabrication avancée</w:t>
      </w:r>
      <w:r w:rsidR="00D851FE" w:rsidRPr="00776866">
        <w:rPr>
          <w:rFonts w:ascii="Roboto" w:hAnsi="Roboto"/>
        </w:rPr>
        <w:t>,</w:t>
      </w:r>
      <w:r w:rsidRPr="00776866">
        <w:rPr>
          <w:rFonts w:ascii="Roboto" w:hAnsi="Roboto"/>
        </w:rPr>
        <w:t xml:space="preserve"> aéronautique, mobilité</w:t>
      </w:r>
      <w:r w:rsidR="00D851FE" w:rsidRPr="00776866">
        <w:rPr>
          <w:rFonts w:ascii="Roboto" w:hAnsi="Roboto"/>
        </w:rPr>
        <w:t xml:space="preserve"> électrique</w:t>
      </w:r>
    </w:p>
    <w:p w14:paraId="3A671EE5" w14:textId="6C3B4E1F" w:rsidR="006B69EF" w:rsidRPr="00776866" w:rsidRDefault="00D851FE" w:rsidP="006B69EF">
      <w:pPr>
        <w:pStyle w:val="Paragraphedeliste"/>
        <w:numPr>
          <w:ilvl w:val="0"/>
          <w:numId w:val="4"/>
        </w:numPr>
        <w:rPr>
          <w:rFonts w:ascii="Roboto" w:hAnsi="Roboto"/>
        </w:rPr>
      </w:pPr>
      <w:r w:rsidRPr="00776866">
        <w:rPr>
          <w:rFonts w:ascii="Roboto" w:hAnsi="Roboto"/>
        </w:rPr>
        <w:t>Industrie agroalimentaire, alimentation saine</w:t>
      </w:r>
      <w:r w:rsidR="00155B74" w:rsidRPr="00776866">
        <w:rPr>
          <w:rFonts w:ascii="Roboto" w:hAnsi="Roboto"/>
        </w:rPr>
        <w:t xml:space="preserve"> et durable</w:t>
      </w:r>
    </w:p>
    <w:p w14:paraId="34E216C2" w14:textId="3CB3856A" w:rsidR="006B69EF" w:rsidRPr="00776866" w:rsidRDefault="00155B74" w:rsidP="006B69EF">
      <w:pPr>
        <w:pStyle w:val="Paragraphedeliste"/>
        <w:numPr>
          <w:ilvl w:val="0"/>
          <w:numId w:val="4"/>
        </w:numPr>
        <w:rPr>
          <w:rFonts w:ascii="Roboto" w:hAnsi="Roboto"/>
        </w:rPr>
      </w:pPr>
      <w:r w:rsidRPr="00776866">
        <w:rPr>
          <w:rFonts w:ascii="Roboto" w:hAnsi="Roboto"/>
        </w:rPr>
        <w:t>Energies renouvelables</w:t>
      </w:r>
    </w:p>
    <w:p w14:paraId="0F1F1333" w14:textId="41AAA9B4" w:rsidR="006B69EF" w:rsidRPr="00776866" w:rsidRDefault="0054577E" w:rsidP="006B69EF">
      <w:pPr>
        <w:pStyle w:val="Paragraphedeliste"/>
        <w:numPr>
          <w:ilvl w:val="0"/>
          <w:numId w:val="4"/>
        </w:numPr>
        <w:rPr>
          <w:rFonts w:ascii="Roboto" w:hAnsi="Roboto"/>
        </w:rPr>
      </w:pPr>
      <w:r w:rsidRPr="00776866">
        <w:rPr>
          <w:rFonts w:ascii="Roboto" w:hAnsi="Roboto"/>
        </w:rPr>
        <w:t>Habitat</w:t>
      </w:r>
      <w:r w:rsidR="00155B74" w:rsidRPr="00776866">
        <w:rPr>
          <w:rFonts w:ascii="Roboto" w:hAnsi="Roboto"/>
        </w:rPr>
        <w:t xml:space="preserve"> durable, </w:t>
      </w:r>
      <w:r w:rsidRPr="00776866">
        <w:rPr>
          <w:rFonts w:ascii="Roboto" w:hAnsi="Roboto"/>
        </w:rPr>
        <w:t xml:space="preserve">construction durable, forêt, </w:t>
      </w:r>
      <w:r w:rsidR="005A0490" w:rsidRPr="00776866">
        <w:rPr>
          <w:rFonts w:ascii="Roboto" w:hAnsi="Roboto"/>
        </w:rPr>
        <w:t>bois</w:t>
      </w:r>
    </w:p>
    <w:p w14:paraId="31CCCA91" w14:textId="21991056" w:rsidR="006B69EF" w:rsidRPr="00776866" w:rsidRDefault="005A0490" w:rsidP="006B69EF">
      <w:pPr>
        <w:pStyle w:val="Paragraphedeliste"/>
        <w:numPr>
          <w:ilvl w:val="0"/>
          <w:numId w:val="4"/>
        </w:numPr>
        <w:rPr>
          <w:rFonts w:ascii="Roboto" w:hAnsi="Roboto"/>
        </w:rPr>
      </w:pPr>
      <w:r w:rsidRPr="00776866">
        <w:rPr>
          <w:rFonts w:ascii="Roboto" w:hAnsi="Roboto"/>
        </w:rPr>
        <w:t>Industries créatives et culturelles</w:t>
      </w:r>
      <w:r w:rsidR="00654F36" w:rsidRPr="00776866">
        <w:rPr>
          <w:rFonts w:ascii="Roboto" w:hAnsi="Roboto"/>
        </w:rPr>
        <w:t xml:space="preserve">, Industrie </w:t>
      </w:r>
      <w:r w:rsidR="004578A0">
        <w:rPr>
          <w:rFonts w:ascii="Roboto" w:hAnsi="Roboto"/>
        </w:rPr>
        <w:t>a</w:t>
      </w:r>
      <w:r w:rsidR="00654F36" w:rsidRPr="00776866">
        <w:rPr>
          <w:rFonts w:ascii="Roboto" w:hAnsi="Roboto"/>
        </w:rPr>
        <w:t>udiovisuelle</w:t>
      </w:r>
    </w:p>
    <w:p w14:paraId="195496E5" w14:textId="5BE39402" w:rsidR="002069F1" w:rsidRPr="009B410E" w:rsidRDefault="00A2211B" w:rsidP="006B69EF">
      <w:pPr>
        <w:autoSpaceDE w:val="0"/>
        <w:autoSpaceDN w:val="0"/>
        <w:adjustRightInd w:val="0"/>
        <w:spacing w:after="0" w:line="240" w:lineRule="auto"/>
        <w:rPr>
          <w:rFonts w:cstheme="minorHAnsi"/>
          <w:lang w:val="fr-FR"/>
        </w:rPr>
      </w:pPr>
      <w:r w:rsidRPr="00776866">
        <w:rPr>
          <w:rFonts w:cstheme="minorHAnsi"/>
          <w:lang w:val="fr-FR"/>
        </w:rPr>
        <w:t>L</w:t>
      </w:r>
      <w:r w:rsidR="00D34797" w:rsidRPr="00776866">
        <w:rPr>
          <w:rFonts w:cstheme="minorHAnsi"/>
          <w:lang w:val="fr-FR"/>
        </w:rPr>
        <w:t>e GECT Nouvelle Aquitaine Euskadi Navarre souhaite aborder de manière transversale à travers cet appel à projets</w:t>
      </w:r>
      <w:r w:rsidR="002069F1" w:rsidRPr="00776866">
        <w:rPr>
          <w:rFonts w:cstheme="minorHAnsi"/>
          <w:lang w:val="fr-FR"/>
        </w:rPr>
        <w:t xml:space="preserve">, d'un point de vue local et transfrontalier, le </w:t>
      </w:r>
      <w:r w:rsidR="002069F1" w:rsidRPr="00776866">
        <w:rPr>
          <w:rFonts w:cstheme="minorHAnsi"/>
          <w:b/>
          <w:bCs/>
          <w:lang w:val="fr-FR"/>
        </w:rPr>
        <w:t>développement compétitif et résilient</w:t>
      </w:r>
      <w:r w:rsidR="002069F1" w:rsidRPr="00776866">
        <w:rPr>
          <w:rFonts w:cstheme="minorHAnsi"/>
          <w:lang w:val="fr-FR"/>
        </w:rPr>
        <w:t xml:space="preserve"> de l'Eurorégion dans le cadre de </w:t>
      </w:r>
      <w:r w:rsidR="002069F1" w:rsidRPr="00776866">
        <w:rPr>
          <w:rFonts w:cstheme="minorHAnsi"/>
          <w:b/>
          <w:bCs/>
          <w:lang w:val="fr-FR"/>
        </w:rPr>
        <w:t>la révolution numérique</w:t>
      </w:r>
      <w:r w:rsidR="002069F1" w:rsidRPr="00776866">
        <w:rPr>
          <w:rFonts w:cstheme="minorHAnsi"/>
          <w:lang w:val="fr-FR"/>
        </w:rPr>
        <w:t xml:space="preserve"> par une </w:t>
      </w:r>
      <w:r w:rsidR="002069F1" w:rsidRPr="00776866">
        <w:rPr>
          <w:rFonts w:cstheme="minorHAnsi"/>
          <w:b/>
          <w:bCs/>
          <w:lang w:val="fr-FR"/>
        </w:rPr>
        <w:t>spécialisation intelligente</w:t>
      </w:r>
      <w:r w:rsidR="002069F1" w:rsidRPr="00776866">
        <w:rPr>
          <w:rFonts w:cstheme="minorHAnsi"/>
          <w:lang w:val="fr-FR"/>
        </w:rPr>
        <w:t xml:space="preserve"> pour la </w:t>
      </w:r>
      <w:r w:rsidR="002069F1" w:rsidRPr="00776866">
        <w:rPr>
          <w:rFonts w:cstheme="minorHAnsi"/>
          <w:b/>
          <w:bCs/>
          <w:lang w:val="fr-FR"/>
        </w:rPr>
        <w:t>durabilité</w:t>
      </w:r>
      <w:r w:rsidR="002069F1" w:rsidRPr="00776866">
        <w:rPr>
          <w:rFonts w:cstheme="minorHAnsi"/>
          <w:lang w:val="fr-FR"/>
        </w:rPr>
        <w:t xml:space="preserve">, la génération de </w:t>
      </w:r>
      <w:r w:rsidR="002069F1" w:rsidRPr="00776866">
        <w:rPr>
          <w:rFonts w:cstheme="minorHAnsi"/>
          <w:b/>
          <w:bCs/>
          <w:lang w:val="fr-FR"/>
        </w:rPr>
        <w:t>connaissances</w:t>
      </w:r>
      <w:r w:rsidR="002069F1" w:rsidRPr="00776866">
        <w:rPr>
          <w:rFonts w:cstheme="minorHAnsi"/>
          <w:lang w:val="fr-FR"/>
        </w:rPr>
        <w:t xml:space="preserve"> et d'</w:t>
      </w:r>
      <w:r w:rsidR="002069F1" w:rsidRPr="00776866">
        <w:rPr>
          <w:rFonts w:cstheme="minorHAnsi"/>
          <w:b/>
          <w:bCs/>
          <w:lang w:val="fr-FR"/>
        </w:rPr>
        <w:t>innovation</w:t>
      </w:r>
      <w:r w:rsidR="002069F1" w:rsidRPr="00776866">
        <w:rPr>
          <w:rFonts w:cstheme="minorHAnsi"/>
          <w:lang w:val="fr-FR"/>
        </w:rPr>
        <w:t xml:space="preserve"> et l'engagement dans </w:t>
      </w:r>
      <w:r w:rsidR="002069F1" w:rsidRPr="00776866">
        <w:rPr>
          <w:rFonts w:cstheme="minorHAnsi"/>
          <w:b/>
          <w:bCs/>
          <w:lang w:val="fr-FR"/>
        </w:rPr>
        <w:t>l'économie circulaire</w:t>
      </w:r>
      <w:r w:rsidR="004415AE">
        <w:rPr>
          <w:rFonts w:cstheme="minorHAnsi"/>
          <w:b/>
          <w:bCs/>
          <w:lang w:val="fr-FR"/>
        </w:rPr>
        <w:t>.</w:t>
      </w:r>
    </w:p>
    <w:p w14:paraId="3A7E37CE" w14:textId="77777777" w:rsidR="002069F1" w:rsidRPr="009B410E" w:rsidRDefault="002069F1" w:rsidP="006B69EF">
      <w:pPr>
        <w:autoSpaceDE w:val="0"/>
        <w:autoSpaceDN w:val="0"/>
        <w:adjustRightInd w:val="0"/>
        <w:spacing w:after="0" w:line="240" w:lineRule="auto"/>
        <w:rPr>
          <w:rFonts w:cstheme="minorHAnsi"/>
          <w:lang w:val="fr-FR"/>
        </w:rPr>
      </w:pPr>
    </w:p>
    <w:p w14:paraId="16A51858" w14:textId="172FAC2F" w:rsidR="006B69EF" w:rsidRPr="009B410E" w:rsidRDefault="006B69EF" w:rsidP="006B69EF">
      <w:pPr>
        <w:autoSpaceDE w:val="0"/>
        <w:autoSpaceDN w:val="0"/>
        <w:adjustRightInd w:val="0"/>
        <w:spacing w:after="0" w:line="240" w:lineRule="auto"/>
        <w:rPr>
          <w:rFonts w:cstheme="minorHAnsi"/>
          <w:lang w:val="fr-FR"/>
        </w:rPr>
      </w:pPr>
      <w:r w:rsidRPr="009B410E">
        <w:rPr>
          <w:rFonts w:cstheme="minorHAnsi"/>
          <w:lang w:val="fr-FR"/>
        </w:rPr>
        <w:t xml:space="preserve">Cet Appel à projets repose sur une série d'éléments transversaux en cohérence avec les priorités européennes : le développement durable et le numérique. </w:t>
      </w:r>
    </w:p>
    <w:p w14:paraId="0063E96B" w14:textId="77777777" w:rsidR="006B69EF" w:rsidRPr="009B410E" w:rsidRDefault="006B69EF" w:rsidP="006B69EF">
      <w:pPr>
        <w:autoSpaceDE w:val="0"/>
        <w:autoSpaceDN w:val="0"/>
        <w:adjustRightInd w:val="0"/>
        <w:spacing w:after="0" w:line="240" w:lineRule="auto"/>
        <w:rPr>
          <w:rFonts w:cstheme="minorHAnsi"/>
          <w:lang w:val="fr-FR"/>
        </w:rPr>
      </w:pPr>
    </w:p>
    <w:p w14:paraId="13FE6762" w14:textId="3759F431" w:rsidR="006B69EF" w:rsidRPr="00687E8C" w:rsidRDefault="006B69EF" w:rsidP="006B69EF">
      <w:pPr>
        <w:autoSpaceDE w:val="0"/>
        <w:autoSpaceDN w:val="0"/>
        <w:adjustRightInd w:val="0"/>
        <w:spacing w:after="0" w:line="240" w:lineRule="auto"/>
        <w:rPr>
          <w:rFonts w:cstheme="minorHAnsi"/>
          <w:shd w:val="clear" w:color="auto" w:fill="FFFFFF"/>
          <w:lang w:val="fr-FR"/>
        </w:rPr>
      </w:pPr>
      <w:r w:rsidRPr="009B410E">
        <w:rPr>
          <w:rFonts w:cstheme="minorHAnsi"/>
          <w:shd w:val="clear" w:color="auto" w:fill="FFFFFF"/>
          <w:lang w:val="fr-FR"/>
        </w:rPr>
        <w:t>Les projets constituant la continuité d'opérations qui ont été programmées</w:t>
      </w:r>
      <w:r w:rsidRPr="00687E8C">
        <w:rPr>
          <w:rFonts w:cstheme="minorHAnsi"/>
          <w:shd w:val="clear" w:color="auto" w:fill="FFFFFF"/>
          <w:lang w:val="fr-FR"/>
        </w:rPr>
        <w:t xml:space="preserve"> lors des appels à projets antérieures devront inclure des éléments nouveaux sur au moins </w:t>
      </w:r>
      <w:r w:rsidR="009B410E">
        <w:rPr>
          <w:rFonts w:cstheme="minorHAnsi"/>
          <w:shd w:val="clear" w:color="auto" w:fill="FFFFFF"/>
          <w:lang w:val="fr-FR"/>
        </w:rPr>
        <w:t>deux</w:t>
      </w:r>
      <w:r w:rsidRPr="00687E8C">
        <w:rPr>
          <w:rFonts w:cstheme="minorHAnsi"/>
          <w:shd w:val="clear" w:color="auto" w:fill="FFFFFF"/>
          <w:lang w:val="fr-FR"/>
        </w:rPr>
        <w:t xml:space="preserve"> des aspects suivants :</w:t>
      </w:r>
    </w:p>
    <w:p w14:paraId="21D0CA99" w14:textId="1F76CF72" w:rsidR="006B69EF" w:rsidRPr="00687E8C" w:rsidRDefault="006B69EF" w:rsidP="006B69EF">
      <w:pPr>
        <w:pStyle w:val="Paragraphedeliste"/>
        <w:numPr>
          <w:ilvl w:val="0"/>
          <w:numId w:val="6"/>
        </w:numPr>
        <w:autoSpaceDE w:val="0"/>
        <w:autoSpaceDN w:val="0"/>
        <w:adjustRightInd w:val="0"/>
        <w:spacing w:after="0" w:line="240" w:lineRule="auto"/>
        <w:rPr>
          <w:rFonts w:ascii="Roboto" w:hAnsi="Roboto" w:cstheme="minorHAnsi"/>
        </w:rPr>
      </w:pPr>
      <w:r w:rsidRPr="00687E8C">
        <w:rPr>
          <w:rFonts w:ascii="Roboto" w:hAnsi="Roboto" w:cstheme="minorHAnsi"/>
          <w:shd w:val="clear" w:color="auto" w:fill="FFFFFF"/>
        </w:rPr>
        <w:t>Partenariat</w:t>
      </w:r>
    </w:p>
    <w:p w14:paraId="25D92C33" w14:textId="77777777" w:rsidR="006E11D7" w:rsidRPr="002D0A9F" w:rsidRDefault="006B69EF" w:rsidP="006E11D7">
      <w:pPr>
        <w:pStyle w:val="Paragraphedeliste"/>
        <w:numPr>
          <w:ilvl w:val="0"/>
          <w:numId w:val="6"/>
        </w:numPr>
        <w:autoSpaceDE w:val="0"/>
        <w:autoSpaceDN w:val="0"/>
        <w:adjustRightInd w:val="0"/>
        <w:spacing w:after="0" w:line="240" w:lineRule="auto"/>
        <w:rPr>
          <w:rFonts w:cstheme="minorHAnsi"/>
        </w:rPr>
      </w:pPr>
      <w:r w:rsidRPr="006E11D7">
        <w:rPr>
          <w:rFonts w:ascii="Roboto" w:hAnsi="Roboto" w:cstheme="minorHAnsi"/>
          <w:shd w:val="clear" w:color="auto" w:fill="FFFFFF"/>
        </w:rPr>
        <w:t>Objectifs et résultats escomptés du projet</w:t>
      </w:r>
    </w:p>
    <w:p w14:paraId="191D7ED7" w14:textId="54C1AF3A" w:rsidR="006E11D7" w:rsidRPr="002D0A9F" w:rsidRDefault="006E11D7" w:rsidP="006E11D7">
      <w:pPr>
        <w:pStyle w:val="Paragraphedeliste"/>
        <w:numPr>
          <w:ilvl w:val="0"/>
          <w:numId w:val="6"/>
        </w:numPr>
        <w:autoSpaceDE w:val="0"/>
        <w:autoSpaceDN w:val="0"/>
        <w:adjustRightInd w:val="0"/>
        <w:spacing w:after="0" w:line="240" w:lineRule="auto"/>
        <w:rPr>
          <w:rFonts w:ascii="Roboto" w:hAnsi="Roboto" w:cstheme="minorHAnsi"/>
          <w:shd w:val="clear" w:color="auto" w:fill="FFFFFF"/>
        </w:rPr>
      </w:pPr>
      <w:r w:rsidRPr="002D0A9F">
        <w:rPr>
          <w:rFonts w:ascii="Roboto" w:hAnsi="Roboto" w:cstheme="minorHAnsi"/>
          <w:shd w:val="clear" w:color="auto" w:fill="FFFFFF"/>
        </w:rPr>
        <w:t>Couverture territoriale </w:t>
      </w:r>
    </w:p>
    <w:p w14:paraId="50DB25C4" w14:textId="04E49726" w:rsidR="006B69EF" w:rsidRDefault="00256DFA" w:rsidP="006B69EF">
      <w:pPr>
        <w:pStyle w:val="Titre1"/>
      </w:pPr>
      <w:bookmarkStart w:id="3" w:name="_Toc96519894"/>
      <w:r>
        <w:t>B</w:t>
      </w:r>
      <w:r w:rsidR="006B69EF">
        <w:t>énéficiaires</w:t>
      </w:r>
      <w:bookmarkEnd w:id="3"/>
    </w:p>
    <w:p w14:paraId="797405D7" w14:textId="77777777" w:rsidR="006B69EF" w:rsidRPr="006B69EF" w:rsidRDefault="006B69EF" w:rsidP="006B69EF">
      <w:pPr>
        <w:pStyle w:val="Default"/>
        <w:jc w:val="both"/>
        <w:rPr>
          <w:rFonts w:ascii="Roboto" w:hAnsi="Roboto" w:cstheme="minorHAnsi"/>
          <w:sz w:val="22"/>
          <w:szCs w:val="22"/>
        </w:rPr>
      </w:pPr>
      <w:r w:rsidRPr="006B69EF">
        <w:rPr>
          <w:rFonts w:ascii="Roboto" w:hAnsi="Roboto" w:cstheme="minorHAnsi"/>
          <w:sz w:val="22"/>
          <w:szCs w:val="22"/>
        </w:rPr>
        <w:t xml:space="preserve">L’Appel à projets a pour objet de soutenir des initiatives ayant un caractère véritablement trilatéral, dès sa genèse et jusqu’à sa réalisation finale, avec </w:t>
      </w:r>
      <w:r w:rsidRPr="006B69EF">
        <w:rPr>
          <w:rFonts w:ascii="Roboto" w:hAnsi="Roboto" w:cstheme="minorHAnsi"/>
          <w:b/>
          <w:bCs/>
          <w:sz w:val="22"/>
          <w:szCs w:val="22"/>
        </w:rPr>
        <w:t xml:space="preserve">au moins un partenaire issu de chacun des territoires membres du GECT. </w:t>
      </w:r>
    </w:p>
    <w:p w14:paraId="7310EFC1" w14:textId="77777777" w:rsidR="006B69EF" w:rsidRPr="006B69EF" w:rsidRDefault="006B69EF" w:rsidP="006B69EF">
      <w:pPr>
        <w:pStyle w:val="Default"/>
        <w:jc w:val="both"/>
        <w:rPr>
          <w:rFonts w:ascii="Roboto" w:hAnsi="Roboto" w:cstheme="minorHAnsi"/>
          <w:color w:val="auto"/>
          <w:sz w:val="22"/>
          <w:szCs w:val="22"/>
        </w:rPr>
      </w:pPr>
    </w:p>
    <w:p w14:paraId="6BCAB99E" w14:textId="371F13C5" w:rsidR="006B69EF" w:rsidRPr="006B69EF" w:rsidRDefault="006B69EF" w:rsidP="006B69EF">
      <w:pPr>
        <w:pStyle w:val="Default"/>
        <w:jc w:val="both"/>
        <w:rPr>
          <w:rFonts w:ascii="Roboto" w:hAnsi="Roboto" w:cstheme="minorHAnsi"/>
          <w:color w:val="auto"/>
          <w:sz w:val="22"/>
          <w:szCs w:val="22"/>
        </w:rPr>
      </w:pPr>
      <w:r w:rsidRPr="006B69EF">
        <w:rPr>
          <w:rFonts w:ascii="Roboto" w:hAnsi="Roboto" w:cstheme="minorHAnsi"/>
          <w:color w:val="auto"/>
          <w:sz w:val="22"/>
          <w:szCs w:val="22"/>
        </w:rPr>
        <w:t>Les bénéficiaires éligibles à l’Appel à projets sont</w:t>
      </w:r>
      <w:r w:rsidR="004578A0">
        <w:rPr>
          <w:rFonts w:ascii="Roboto" w:hAnsi="Roboto" w:cstheme="minorHAnsi"/>
          <w:color w:val="auto"/>
          <w:sz w:val="22"/>
          <w:szCs w:val="22"/>
        </w:rPr>
        <w:t xml:space="preserve"> des</w:t>
      </w:r>
      <w:r w:rsidRPr="006B69EF">
        <w:rPr>
          <w:rFonts w:ascii="Roboto" w:hAnsi="Roboto" w:cstheme="minorHAnsi"/>
          <w:color w:val="auto"/>
          <w:sz w:val="22"/>
          <w:szCs w:val="22"/>
        </w:rPr>
        <w:t xml:space="preserve"> institutions dotées de personnalité juridique de caractère privé ou public (entreprises privées, organismes publics et organisations à but non lucratif)</w:t>
      </w:r>
      <w:r w:rsidR="00A2211B">
        <w:rPr>
          <w:rFonts w:ascii="Roboto" w:hAnsi="Roboto" w:cstheme="minorHAnsi"/>
          <w:color w:val="auto"/>
          <w:sz w:val="22"/>
          <w:szCs w:val="22"/>
        </w:rPr>
        <w:t>,</w:t>
      </w:r>
      <w:r w:rsidRPr="006B69EF">
        <w:rPr>
          <w:rFonts w:ascii="Roboto" w:hAnsi="Roboto" w:cstheme="minorHAnsi"/>
          <w:color w:val="auto"/>
          <w:sz w:val="22"/>
          <w:szCs w:val="22"/>
        </w:rPr>
        <w:t xml:space="preserve"> et/ou </w:t>
      </w:r>
      <w:proofErr w:type="gramStart"/>
      <w:r w:rsidRPr="006B69EF">
        <w:rPr>
          <w:rFonts w:ascii="Roboto" w:hAnsi="Roboto" w:cstheme="minorHAnsi"/>
          <w:color w:val="auto"/>
          <w:sz w:val="22"/>
          <w:szCs w:val="22"/>
        </w:rPr>
        <w:t>microentreprises  implantées</w:t>
      </w:r>
      <w:proofErr w:type="gramEnd"/>
      <w:r w:rsidRPr="006B69EF">
        <w:rPr>
          <w:rFonts w:ascii="Roboto" w:hAnsi="Roboto" w:cstheme="minorHAnsi"/>
          <w:color w:val="auto"/>
          <w:sz w:val="22"/>
          <w:szCs w:val="22"/>
        </w:rPr>
        <w:t xml:space="preserve"> sur les territoires de la Région Nouvelle Aquitaine, de la Communauté Autonome d’Euskadi et de la Communauté Forale de Navarre. </w:t>
      </w:r>
    </w:p>
    <w:p w14:paraId="5B3FE200" w14:textId="77777777" w:rsidR="006B69EF" w:rsidRPr="006B69EF" w:rsidRDefault="006B69EF" w:rsidP="006B69EF">
      <w:pPr>
        <w:pStyle w:val="Default"/>
        <w:jc w:val="both"/>
        <w:rPr>
          <w:rFonts w:ascii="Roboto" w:hAnsi="Roboto" w:cstheme="minorHAnsi"/>
          <w:color w:val="auto"/>
          <w:sz w:val="22"/>
          <w:szCs w:val="22"/>
        </w:rPr>
      </w:pPr>
    </w:p>
    <w:p w14:paraId="3CCE00BA" w14:textId="44DB4D9D" w:rsidR="006B69EF" w:rsidRPr="0031363D" w:rsidRDefault="006B69EF" w:rsidP="006B69EF">
      <w:pPr>
        <w:rPr>
          <w:rFonts w:cstheme="minorHAnsi"/>
          <w:lang w:val="fr-FR"/>
        </w:rPr>
      </w:pPr>
      <w:r w:rsidRPr="0031363D">
        <w:rPr>
          <w:rFonts w:cstheme="minorHAnsi"/>
          <w:lang w:val="fr-FR"/>
        </w:rPr>
        <w:lastRenderedPageBreak/>
        <w:t xml:space="preserve">Les bénéficiaires doivent avoir leur siège social ou domicile sur les territoires de la Région Nouvelle-Aquitaine, de la Communauté Autonome d’Euskadi et de la Communauté Forale de Navarre. </w:t>
      </w:r>
    </w:p>
    <w:p w14:paraId="2C3D6AE2" w14:textId="69098C7D" w:rsidR="006B69EF" w:rsidRDefault="006B69EF" w:rsidP="006B69EF">
      <w:pPr>
        <w:pStyle w:val="Titre1"/>
      </w:pPr>
      <w:bookmarkStart w:id="4" w:name="_Toc96519895"/>
      <w:r>
        <w:t>M</w:t>
      </w:r>
      <w:r w:rsidR="00256DFA">
        <w:t>on</w:t>
      </w:r>
      <w:r>
        <w:t>tants et financement</w:t>
      </w:r>
      <w:bookmarkEnd w:id="4"/>
    </w:p>
    <w:p w14:paraId="78B2B11D" w14:textId="12A5B1F0" w:rsidR="006B69EF" w:rsidRPr="0031363D" w:rsidRDefault="006B69EF" w:rsidP="006B69EF">
      <w:pPr>
        <w:rPr>
          <w:lang w:val="fr-FR"/>
        </w:rPr>
      </w:pPr>
      <w:r w:rsidRPr="004415AE">
        <w:rPr>
          <w:lang w:val="fr-FR"/>
        </w:rPr>
        <w:t xml:space="preserve">La dotation globale de cet Appel à projets est de </w:t>
      </w:r>
      <w:r w:rsidR="002069F1" w:rsidRPr="004415AE">
        <w:rPr>
          <w:lang w:val="fr-FR"/>
        </w:rPr>
        <w:t>4</w:t>
      </w:r>
      <w:r w:rsidRPr="004415AE">
        <w:rPr>
          <w:lang w:val="fr-FR"/>
        </w:rPr>
        <w:t>00 000 €.</w:t>
      </w:r>
    </w:p>
    <w:p w14:paraId="7A41A7D5" w14:textId="3128A281" w:rsidR="006B69EF" w:rsidRPr="0031363D" w:rsidRDefault="006B69EF" w:rsidP="006B69EF">
      <w:pPr>
        <w:rPr>
          <w:lang w:val="fr-FR"/>
        </w:rPr>
      </w:pPr>
      <w:r w:rsidRPr="0031363D">
        <w:rPr>
          <w:lang w:val="fr-FR"/>
        </w:rPr>
        <w:t xml:space="preserve">Le montant maximal des subventions accordées par l’Eurorégion Nouvelle-Aquitaine Euskadi Navarre au titre de l’Appel à projets peut atteindre 50 % du coût total du projet, </w:t>
      </w:r>
      <w:r w:rsidRPr="0031363D">
        <w:rPr>
          <w:b/>
          <w:bCs/>
          <w:lang w:val="fr-FR"/>
        </w:rPr>
        <w:t xml:space="preserve">dans la limite de </w:t>
      </w:r>
      <w:r w:rsidR="00D34CE0">
        <w:rPr>
          <w:b/>
          <w:bCs/>
          <w:lang w:val="fr-FR"/>
        </w:rPr>
        <w:t>75</w:t>
      </w:r>
      <w:r w:rsidRPr="0031363D">
        <w:rPr>
          <w:b/>
          <w:bCs/>
          <w:lang w:val="fr-FR"/>
        </w:rPr>
        <w:t xml:space="preserve"> 000€ de subvention par projet présenté.</w:t>
      </w:r>
    </w:p>
    <w:p w14:paraId="43D091C9" w14:textId="77777777" w:rsidR="006B69EF" w:rsidRPr="0031363D" w:rsidRDefault="006B69EF" w:rsidP="006B69EF">
      <w:pPr>
        <w:rPr>
          <w:lang w:val="fr-FR"/>
        </w:rPr>
      </w:pPr>
      <w:r w:rsidRPr="0031363D">
        <w:rPr>
          <w:lang w:val="fr-FR"/>
        </w:rPr>
        <w:t>Le projet devra être autofinancé au minimum à hauteur de 20 % du coût total du projet.</w:t>
      </w:r>
    </w:p>
    <w:p w14:paraId="3375AC27" w14:textId="55725BEA" w:rsidR="006B69EF" w:rsidRPr="0031363D" w:rsidRDefault="006B69EF" w:rsidP="006B69EF">
      <w:pPr>
        <w:pBdr>
          <w:top w:val="nil"/>
          <w:left w:val="nil"/>
          <w:bottom w:val="nil"/>
          <w:right w:val="nil"/>
          <w:between w:val="nil"/>
        </w:pBdr>
        <w:spacing w:line="240" w:lineRule="auto"/>
        <w:rPr>
          <w:lang w:val="fr-FR"/>
        </w:rPr>
      </w:pPr>
      <w:r w:rsidRPr="0031363D">
        <w:rPr>
          <w:lang w:val="fr-FR"/>
        </w:rPr>
        <w:t>Un projet pourra bénéficier d’une aide issue de l’Appel à projets et d’une subvention du Conseil Régional de Nouvelle-Aquitaine, du Gouvernement Basque ou du Gouvernement de Navarre, ou de toutes ces administrations, conjointement, conformément aux dispositifs d’aide classique, dans les conditions suivantes :</w:t>
      </w:r>
    </w:p>
    <w:p w14:paraId="445A2FBB" w14:textId="0081489F" w:rsidR="006B69EF" w:rsidRPr="0031363D" w:rsidRDefault="006B69EF" w:rsidP="006B69EF">
      <w:pPr>
        <w:numPr>
          <w:ilvl w:val="0"/>
          <w:numId w:val="7"/>
        </w:numPr>
        <w:pBdr>
          <w:top w:val="nil"/>
          <w:left w:val="nil"/>
          <w:bottom w:val="nil"/>
          <w:right w:val="nil"/>
          <w:between w:val="nil"/>
        </w:pBdr>
        <w:spacing w:after="0" w:line="360" w:lineRule="auto"/>
        <w:ind w:right="-100"/>
        <w:rPr>
          <w:lang w:val="fr-FR"/>
        </w:rPr>
      </w:pPr>
      <w:proofErr w:type="gramStart"/>
      <w:r w:rsidRPr="0031363D">
        <w:rPr>
          <w:lang w:val="fr-FR"/>
        </w:rPr>
        <w:t>le</w:t>
      </w:r>
      <w:proofErr w:type="gramEnd"/>
      <w:r w:rsidRPr="0031363D">
        <w:rPr>
          <w:lang w:val="fr-FR"/>
        </w:rPr>
        <w:t xml:space="preserve"> cumul de ces aides</w:t>
      </w:r>
      <w:r w:rsidR="009B410E">
        <w:rPr>
          <w:lang w:val="fr-FR"/>
        </w:rPr>
        <w:t xml:space="preserve"> (</w:t>
      </w:r>
      <w:r w:rsidR="004578A0">
        <w:rPr>
          <w:lang w:val="fr-FR"/>
        </w:rPr>
        <w:t xml:space="preserve">AAP </w:t>
      </w:r>
      <w:r w:rsidR="005C67C3">
        <w:rPr>
          <w:lang w:val="fr-FR"/>
        </w:rPr>
        <w:t>innovation</w:t>
      </w:r>
      <w:r w:rsidR="004578A0">
        <w:rPr>
          <w:lang w:val="fr-FR"/>
        </w:rPr>
        <w:t xml:space="preserve"> </w:t>
      </w:r>
      <w:proofErr w:type="spellStart"/>
      <w:r w:rsidR="004578A0">
        <w:rPr>
          <w:lang w:val="fr-FR"/>
        </w:rPr>
        <w:t>eurorégionale</w:t>
      </w:r>
      <w:proofErr w:type="spellEnd"/>
      <w:r w:rsidR="005C67C3">
        <w:rPr>
          <w:lang w:val="fr-FR"/>
        </w:rPr>
        <w:t xml:space="preserve"> + subventions régionales) </w:t>
      </w:r>
      <w:r w:rsidRPr="0031363D">
        <w:rPr>
          <w:lang w:val="fr-FR"/>
        </w:rPr>
        <w:t xml:space="preserve">ne doit pas excéder </w:t>
      </w:r>
      <w:r w:rsidR="002069F1" w:rsidRPr="00776866">
        <w:rPr>
          <w:lang w:val="fr-FR"/>
        </w:rPr>
        <w:t>5</w:t>
      </w:r>
      <w:r w:rsidRPr="00776866">
        <w:rPr>
          <w:lang w:val="fr-FR"/>
        </w:rPr>
        <w:t>0 %</w:t>
      </w:r>
      <w:r w:rsidRPr="0031363D">
        <w:rPr>
          <w:lang w:val="fr-FR"/>
        </w:rPr>
        <w:t xml:space="preserve"> du coût total du projet,</w:t>
      </w:r>
    </w:p>
    <w:p w14:paraId="52E5F16C" w14:textId="76BB2712" w:rsidR="006B69EF" w:rsidRPr="0031363D" w:rsidRDefault="006B69EF" w:rsidP="006B69EF">
      <w:pPr>
        <w:numPr>
          <w:ilvl w:val="0"/>
          <w:numId w:val="7"/>
        </w:numPr>
        <w:pBdr>
          <w:top w:val="nil"/>
          <w:left w:val="nil"/>
          <w:bottom w:val="nil"/>
          <w:right w:val="nil"/>
          <w:between w:val="nil"/>
        </w:pBdr>
        <w:spacing w:after="0" w:line="360" w:lineRule="auto"/>
        <w:ind w:right="-100"/>
        <w:rPr>
          <w:lang w:val="fr-FR"/>
        </w:rPr>
      </w:pPr>
      <w:proofErr w:type="gramStart"/>
      <w:r w:rsidRPr="0031363D">
        <w:rPr>
          <w:lang w:val="fr-FR"/>
        </w:rPr>
        <w:t>la</w:t>
      </w:r>
      <w:proofErr w:type="gramEnd"/>
      <w:r w:rsidRPr="0031363D">
        <w:rPr>
          <w:lang w:val="fr-FR"/>
        </w:rPr>
        <w:t xml:space="preserve"> nature, les objectifs et le financement du projet justifient le cumul de ces aides. </w:t>
      </w:r>
    </w:p>
    <w:p w14:paraId="5666FCB8" w14:textId="47F67ED4" w:rsidR="006B69EF" w:rsidRPr="0031363D" w:rsidRDefault="00256DFA" w:rsidP="006B69EF">
      <w:pPr>
        <w:rPr>
          <w:lang w:val="fr-FR"/>
        </w:rPr>
      </w:pPr>
      <w:r>
        <w:rPr>
          <w:rFonts w:asciiTheme="minorHAnsi" w:hAnsiTheme="minorHAnsi" w:cstheme="minorHAnsi"/>
          <w:b/>
          <w:bCs/>
          <w:noProof/>
          <w:lang w:val="fr-FR" w:eastAsia="fr-FR"/>
        </w:rPr>
        <w:drawing>
          <wp:anchor distT="0" distB="0" distL="114300" distR="114300" simplePos="0" relativeHeight="251658240" behindDoc="0" locked="0" layoutInCell="1" allowOverlap="1" wp14:anchorId="14558223" wp14:editId="55F3A555">
            <wp:simplePos x="0" y="0"/>
            <wp:positionH relativeFrom="column">
              <wp:posOffset>-417195</wp:posOffset>
            </wp:positionH>
            <wp:positionV relativeFrom="paragraph">
              <wp:posOffset>488950</wp:posOffset>
            </wp:positionV>
            <wp:extent cx="6083300" cy="3548592"/>
            <wp:effectExtent l="0" t="0" r="0" b="0"/>
            <wp:wrapTopAndBottom/>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14:paraId="0B98A163" w14:textId="5A1DE567" w:rsidR="006B69EF" w:rsidRPr="0031363D" w:rsidRDefault="006B69EF" w:rsidP="006B69EF">
      <w:pPr>
        <w:rPr>
          <w:lang w:val="fr-FR"/>
        </w:rPr>
      </w:pPr>
    </w:p>
    <w:p w14:paraId="2EFFDF30" w14:textId="789DBDD7" w:rsidR="006B69EF" w:rsidRPr="0031363D" w:rsidRDefault="006B69EF" w:rsidP="006B69EF">
      <w:pPr>
        <w:rPr>
          <w:lang w:val="fr-FR"/>
        </w:rPr>
      </w:pPr>
    </w:p>
    <w:p w14:paraId="32EFB103" w14:textId="77777777" w:rsidR="009B67B8" w:rsidRPr="0031363D" w:rsidRDefault="009B67B8" w:rsidP="009B67B8">
      <w:pPr>
        <w:rPr>
          <w:lang w:val="fr-FR"/>
        </w:rPr>
      </w:pPr>
    </w:p>
    <w:p w14:paraId="30F9833E" w14:textId="77777777" w:rsidR="00035DA0" w:rsidRPr="00035DA0" w:rsidRDefault="00035DA0" w:rsidP="00035DA0">
      <w:pPr>
        <w:pStyle w:val="Default"/>
        <w:jc w:val="both"/>
        <w:rPr>
          <w:rFonts w:ascii="Roboto" w:hAnsi="Roboto" w:cstheme="minorHAnsi"/>
          <w:sz w:val="22"/>
          <w:szCs w:val="22"/>
        </w:rPr>
      </w:pPr>
      <w:r w:rsidRPr="00035DA0">
        <w:rPr>
          <w:rFonts w:ascii="Roboto" w:hAnsi="Roboto" w:cstheme="minorHAnsi"/>
          <w:b/>
          <w:bCs/>
          <w:sz w:val="22"/>
          <w:szCs w:val="22"/>
        </w:rPr>
        <w:t xml:space="preserve">Les dépenses suivantes sont éligibles : </w:t>
      </w:r>
    </w:p>
    <w:p w14:paraId="6F2C9E4A" w14:textId="77777777" w:rsidR="00035DA0" w:rsidRPr="00035DA0" w:rsidRDefault="00035DA0" w:rsidP="00035DA0">
      <w:pPr>
        <w:pStyle w:val="Default"/>
        <w:numPr>
          <w:ilvl w:val="0"/>
          <w:numId w:val="8"/>
        </w:numPr>
        <w:spacing w:after="47"/>
        <w:jc w:val="both"/>
        <w:rPr>
          <w:rFonts w:ascii="Roboto" w:hAnsi="Roboto" w:cstheme="minorHAnsi"/>
          <w:sz w:val="22"/>
          <w:szCs w:val="22"/>
        </w:rPr>
      </w:pPr>
      <w:r w:rsidRPr="00035DA0">
        <w:rPr>
          <w:rFonts w:ascii="Roboto" w:hAnsi="Roboto" w:cstheme="minorHAnsi"/>
          <w:sz w:val="22"/>
          <w:szCs w:val="22"/>
        </w:rPr>
        <w:t>Frais de personnel</w:t>
      </w:r>
    </w:p>
    <w:p w14:paraId="1DC162A3" w14:textId="77777777" w:rsidR="00035DA0" w:rsidRPr="00035DA0" w:rsidRDefault="00035DA0" w:rsidP="00035DA0">
      <w:pPr>
        <w:pStyle w:val="Default"/>
        <w:numPr>
          <w:ilvl w:val="0"/>
          <w:numId w:val="8"/>
        </w:numPr>
        <w:spacing w:after="47"/>
        <w:jc w:val="both"/>
        <w:rPr>
          <w:rFonts w:ascii="Roboto" w:hAnsi="Roboto" w:cstheme="minorHAnsi"/>
          <w:sz w:val="22"/>
          <w:szCs w:val="22"/>
        </w:rPr>
      </w:pPr>
      <w:r w:rsidRPr="00035DA0">
        <w:rPr>
          <w:rFonts w:ascii="Roboto" w:hAnsi="Roboto" w:cstheme="minorHAnsi"/>
          <w:sz w:val="22"/>
          <w:szCs w:val="22"/>
        </w:rPr>
        <w:t xml:space="preserve">Frais de déplacement, d’hébergement et de nourriture </w:t>
      </w:r>
    </w:p>
    <w:p w14:paraId="1EF1D478" w14:textId="77777777" w:rsidR="00035DA0" w:rsidRPr="00035DA0" w:rsidRDefault="00035DA0" w:rsidP="00035DA0">
      <w:pPr>
        <w:pStyle w:val="Default"/>
        <w:numPr>
          <w:ilvl w:val="0"/>
          <w:numId w:val="8"/>
        </w:numPr>
        <w:jc w:val="both"/>
        <w:rPr>
          <w:rFonts w:ascii="Roboto" w:hAnsi="Roboto" w:cstheme="minorHAnsi"/>
          <w:sz w:val="22"/>
          <w:szCs w:val="22"/>
        </w:rPr>
      </w:pPr>
      <w:r w:rsidRPr="00035DA0">
        <w:rPr>
          <w:rFonts w:ascii="Roboto" w:hAnsi="Roboto" w:cstheme="minorHAnsi"/>
          <w:sz w:val="22"/>
          <w:szCs w:val="22"/>
        </w:rPr>
        <w:t xml:space="preserve">Frais de prestations externes </w:t>
      </w:r>
    </w:p>
    <w:p w14:paraId="3E70BD7C" w14:textId="77777777" w:rsidR="00035DA0" w:rsidRPr="00035DA0" w:rsidRDefault="00035DA0" w:rsidP="00035DA0">
      <w:pPr>
        <w:pStyle w:val="Default"/>
        <w:numPr>
          <w:ilvl w:val="0"/>
          <w:numId w:val="8"/>
        </w:numPr>
        <w:jc w:val="both"/>
        <w:rPr>
          <w:rStyle w:val="markedcontent"/>
          <w:rFonts w:ascii="Roboto" w:hAnsi="Roboto" w:cstheme="minorHAnsi"/>
          <w:sz w:val="18"/>
          <w:szCs w:val="18"/>
        </w:rPr>
      </w:pPr>
      <w:r w:rsidRPr="00035DA0">
        <w:rPr>
          <w:rStyle w:val="markedcontent"/>
          <w:rFonts w:ascii="Roboto" w:hAnsi="Roboto" w:cstheme="minorHAnsi"/>
          <w:sz w:val="22"/>
          <w:szCs w:val="22"/>
        </w:rPr>
        <w:t>Investissement en petits équipements de moins de 500 €</w:t>
      </w:r>
    </w:p>
    <w:p w14:paraId="0622193D" w14:textId="77777777" w:rsidR="00035DA0" w:rsidRPr="00035DA0" w:rsidRDefault="00035DA0" w:rsidP="00035DA0">
      <w:pPr>
        <w:pStyle w:val="Default"/>
        <w:jc w:val="both"/>
        <w:rPr>
          <w:rStyle w:val="markedcontent"/>
          <w:rFonts w:ascii="Roboto" w:hAnsi="Roboto" w:cstheme="minorHAnsi"/>
          <w:sz w:val="22"/>
          <w:szCs w:val="22"/>
        </w:rPr>
      </w:pPr>
    </w:p>
    <w:p w14:paraId="652EEECF" w14:textId="77777777" w:rsidR="00035DA0" w:rsidRPr="00035DA0" w:rsidRDefault="00035DA0" w:rsidP="00035DA0">
      <w:pPr>
        <w:pStyle w:val="Default"/>
        <w:jc w:val="both"/>
        <w:rPr>
          <w:rFonts w:ascii="Roboto" w:hAnsi="Roboto" w:cstheme="minorHAnsi"/>
          <w:sz w:val="18"/>
          <w:szCs w:val="18"/>
        </w:rPr>
      </w:pPr>
      <w:r w:rsidRPr="00035DA0">
        <w:rPr>
          <w:rStyle w:val="markedcontent"/>
          <w:rFonts w:ascii="Roboto" w:hAnsi="Roboto" w:cstheme="minorHAnsi"/>
          <w:sz w:val="22"/>
          <w:szCs w:val="22"/>
        </w:rPr>
        <w:t xml:space="preserve">La période d’éligibilité des dépenses débute lors de la sélection du projet. </w:t>
      </w:r>
    </w:p>
    <w:p w14:paraId="548C5723" w14:textId="77777777" w:rsidR="00035DA0" w:rsidRPr="0031363D" w:rsidRDefault="00035DA0" w:rsidP="00035DA0">
      <w:pPr>
        <w:rPr>
          <w:lang w:val="fr-FR"/>
        </w:rPr>
      </w:pPr>
    </w:p>
    <w:p w14:paraId="26F7AEAF" w14:textId="77777777" w:rsidR="00035DA0" w:rsidRPr="0031363D" w:rsidRDefault="00035DA0" w:rsidP="00035DA0">
      <w:pPr>
        <w:spacing w:after="0"/>
        <w:rPr>
          <w:b/>
          <w:bCs/>
          <w:lang w:val="fr-FR"/>
        </w:rPr>
      </w:pPr>
      <w:r w:rsidRPr="0031363D">
        <w:rPr>
          <w:b/>
          <w:bCs/>
          <w:lang w:val="fr-FR"/>
        </w:rPr>
        <w:t xml:space="preserve">Les dépenses suivantes ne sont pas éligibles : </w:t>
      </w:r>
    </w:p>
    <w:p w14:paraId="06F548AB" w14:textId="77777777" w:rsidR="00035DA0" w:rsidRPr="00035DA0" w:rsidRDefault="00035DA0" w:rsidP="00035DA0">
      <w:pPr>
        <w:pStyle w:val="Paragraphedeliste"/>
        <w:numPr>
          <w:ilvl w:val="0"/>
          <w:numId w:val="8"/>
        </w:numPr>
        <w:rPr>
          <w:rStyle w:val="markedcontent"/>
          <w:rFonts w:ascii="Roboto" w:hAnsi="Roboto" w:cstheme="minorHAnsi"/>
        </w:rPr>
      </w:pPr>
      <w:r w:rsidRPr="00035DA0">
        <w:rPr>
          <w:rStyle w:val="markedcontent"/>
          <w:rFonts w:ascii="Roboto" w:hAnsi="Roboto" w:cstheme="minorHAnsi"/>
        </w:rPr>
        <w:t>Frais de préparation du projet</w:t>
      </w:r>
    </w:p>
    <w:p w14:paraId="0AF17A7A" w14:textId="77777777" w:rsidR="00035DA0" w:rsidRPr="00035DA0" w:rsidRDefault="00035DA0" w:rsidP="00035DA0">
      <w:pPr>
        <w:pStyle w:val="Paragraphedeliste"/>
        <w:numPr>
          <w:ilvl w:val="0"/>
          <w:numId w:val="8"/>
        </w:numPr>
        <w:rPr>
          <w:rFonts w:ascii="Roboto" w:hAnsi="Roboto" w:cstheme="minorHAnsi"/>
          <w:b/>
          <w:bCs/>
        </w:rPr>
      </w:pPr>
      <w:r w:rsidRPr="00035DA0">
        <w:rPr>
          <w:rStyle w:val="markedcontent"/>
          <w:rFonts w:ascii="Roboto" w:hAnsi="Roboto" w:cstheme="minorHAnsi"/>
        </w:rPr>
        <w:t>Frais généraux, de bureau et administratifs</w:t>
      </w:r>
    </w:p>
    <w:p w14:paraId="6CF45031" w14:textId="77777777" w:rsidR="00035DA0" w:rsidRPr="00035DA0" w:rsidRDefault="00035DA0" w:rsidP="00035DA0">
      <w:pPr>
        <w:pStyle w:val="Paragraphedeliste"/>
        <w:numPr>
          <w:ilvl w:val="0"/>
          <w:numId w:val="8"/>
        </w:numPr>
        <w:rPr>
          <w:rStyle w:val="markedcontent"/>
          <w:rFonts w:ascii="Roboto" w:hAnsi="Roboto" w:cstheme="minorHAnsi"/>
          <w:b/>
        </w:rPr>
      </w:pPr>
      <w:r w:rsidRPr="00035DA0">
        <w:rPr>
          <w:rStyle w:val="markedcontent"/>
          <w:rFonts w:ascii="Roboto" w:hAnsi="Roboto" w:cstheme="minorHAnsi"/>
        </w:rPr>
        <w:t>Dépenses basées sur les factures émises par les partenaires du projet entre eux</w:t>
      </w:r>
    </w:p>
    <w:p w14:paraId="73B558A4" w14:textId="77777777" w:rsidR="00035DA0" w:rsidRPr="00035DA0" w:rsidRDefault="00035DA0" w:rsidP="00035DA0">
      <w:pPr>
        <w:pStyle w:val="Paragraphedeliste"/>
        <w:numPr>
          <w:ilvl w:val="0"/>
          <w:numId w:val="8"/>
        </w:numPr>
        <w:rPr>
          <w:rFonts w:ascii="Roboto" w:hAnsi="Roboto" w:cstheme="minorHAnsi"/>
          <w:b/>
          <w:bCs/>
        </w:rPr>
      </w:pPr>
      <w:r w:rsidRPr="00035DA0">
        <w:rPr>
          <w:rStyle w:val="markedcontent"/>
          <w:rFonts w:ascii="Roboto" w:hAnsi="Roboto" w:cstheme="minorHAnsi"/>
        </w:rPr>
        <w:t>Dépenses effectuées avant la date de sélection du projet</w:t>
      </w:r>
    </w:p>
    <w:p w14:paraId="0F167AB3" w14:textId="77777777" w:rsidR="00035DA0" w:rsidRPr="00035DA0" w:rsidRDefault="00035DA0" w:rsidP="00035DA0">
      <w:pPr>
        <w:pStyle w:val="Paragraphedeliste"/>
        <w:numPr>
          <w:ilvl w:val="0"/>
          <w:numId w:val="8"/>
        </w:numPr>
        <w:rPr>
          <w:rStyle w:val="markedcontent"/>
          <w:rFonts w:ascii="Roboto" w:hAnsi="Roboto" w:cstheme="minorHAnsi"/>
          <w:b/>
          <w:bCs/>
        </w:rPr>
      </w:pPr>
      <w:r w:rsidRPr="00035DA0">
        <w:rPr>
          <w:rStyle w:val="markedcontent"/>
          <w:rFonts w:ascii="Roboto" w:hAnsi="Roboto" w:cstheme="minorHAnsi"/>
        </w:rPr>
        <w:t>Les impôts indirects (TVA), lorsqu'ils sont recouvrables ou indemnisables</w:t>
      </w:r>
    </w:p>
    <w:p w14:paraId="6C6DE6E3" w14:textId="0294ACB3" w:rsidR="00035DA0" w:rsidRPr="00776866" w:rsidRDefault="00035DA0" w:rsidP="00035DA0">
      <w:pPr>
        <w:pStyle w:val="Paragraphedeliste"/>
        <w:numPr>
          <w:ilvl w:val="0"/>
          <w:numId w:val="8"/>
        </w:numPr>
        <w:rPr>
          <w:rStyle w:val="markedcontent"/>
          <w:rFonts w:ascii="Roboto" w:hAnsi="Roboto" w:cstheme="minorHAnsi"/>
          <w:b/>
          <w:bCs/>
        </w:rPr>
      </w:pPr>
      <w:r w:rsidRPr="00035DA0">
        <w:rPr>
          <w:rStyle w:val="markedcontent"/>
          <w:rFonts w:ascii="Roboto" w:hAnsi="Roboto" w:cstheme="minorHAnsi"/>
        </w:rPr>
        <w:t>Investissements (hors investissements en petits équipements de moins de 500 €)</w:t>
      </w:r>
    </w:p>
    <w:p w14:paraId="1CB1FA90" w14:textId="55394568" w:rsidR="009B410E" w:rsidRPr="00035DA0" w:rsidRDefault="009B410E" w:rsidP="00035DA0">
      <w:pPr>
        <w:pStyle w:val="Paragraphedeliste"/>
        <w:numPr>
          <w:ilvl w:val="0"/>
          <w:numId w:val="8"/>
        </w:numPr>
        <w:rPr>
          <w:rStyle w:val="markedcontent"/>
          <w:rFonts w:ascii="Roboto" w:hAnsi="Roboto" w:cstheme="minorHAnsi"/>
          <w:b/>
          <w:bCs/>
        </w:rPr>
      </w:pPr>
      <w:r>
        <w:rPr>
          <w:rStyle w:val="markedcontent"/>
          <w:rFonts w:ascii="Roboto" w:hAnsi="Roboto" w:cstheme="minorHAnsi"/>
        </w:rPr>
        <w:t>Frais bancaires</w:t>
      </w:r>
    </w:p>
    <w:p w14:paraId="4F3F85B4" w14:textId="77777777" w:rsidR="00035DA0" w:rsidRPr="0031363D" w:rsidRDefault="00035DA0" w:rsidP="00035DA0">
      <w:pPr>
        <w:rPr>
          <w:lang w:val="fr-FR"/>
        </w:rPr>
      </w:pPr>
      <w:r w:rsidRPr="0031363D">
        <w:rPr>
          <w:lang w:val="fr-FR"/>
        </w:rPr>
        <w:t>Dans le cas des structures non assujetties à la TVA, la participation portera sur le coût total TTC. Le bénéficier devra présenter un document justificatif de non-récupération de la TVA.</w:t>
      </w:r>
    </w:p>
    <w:p w14:paraId="52F93251" w14:textId="77777777" w:rsidR="00035DA0" w:rsidRPr="0031363D" w:rsidRDefault="00035DA0" w:rsidP="00035DA0">
      <w:pPr>
        <w:rPr>
          <w:lang w:val="fr-FR"/>
        </w:rPr>
      </w:pPr>
      <w:r w:rsidRPr="0031363D">
        <w:rPr>
          <w:lang w:val="fr-FR"/>
        </w:rPr>
        <w:t>La subvention sera en outre versée dans le respect du droit positif relative aux aides d’état et notamment le Règlement (UE) 2020/972 de la Commission du 2 juillet 2020. Les entités bénéficiaires doivent remplir la déclaration de responsabilité annexée à l'appel à projets.</w:t>
      </w:r>
    </w:p>
    <w:p w14:paraId="3DC3A0F6" w14:textId="2B5FB061" w:rsidR="00FC1F55" w:rsidRDefault="00035DA0" w:rsidP="00035DA0">
      <w:pPr>
        <w:pStyle w:val="Titre1"/>
        <w:rPr>
          <w:lang w:val="fr-FR"/>
        </w:rPr>
      </w:pPr>
      <w:bookmarkStart w:id="5" w:name="_Toc96519896"/>
      <w:r>
        <w:rPr>
          <w:lang w:val="fr-FR"/>
        </w:rPr>
        <w:t>Dépôt et calendrier</w:t>
      </w:r>
      <w:bookmarkEnd w:id="5"/>
    </w:p>
    <w:p w14:paraId="225B9335" w14:textId="0B6159E6" w:rsidR="00035DA0" w:rsidRPr="009A205A" w:rsidRDefault="00035DA0" w:rsidP="009A205A">
      <w:pPr>
        <w:pStyle w:val="Titre2"/>
      </w:pPr>
      <w:bookmarkStart w:id="6" w:name="_Toc94006605"/>
      <w:bookmarkStart w:id="7" w:name="_Toc96519897"/>
      <w:r w:rsidRPr="009A205A">
        <w:t>Calendrier de l’Appel à projets</w:t>
      </w:r>
      <w:bookmarkEnd w:id="6"/>
      <w:bookmarkEnd w:id="7"/>
    </w:p>
    <w:p w14:paraId="2E2B2342" w14:textId="77777777" w:rsidR="00035DA0" w:rsidRPr="00687E8C" w:rsidRDefault="00035DA0" w:rsidP="00035DA0">
      <w:pPr>
        <w:rPr>
          <w:rFonts w:cstheme="minorHAnsi"/>
          <w:shd w:val="clear" w:color="auto" w:fill="FFFFFF"/>
          <w:lang w:val="fr-FR"/>
        </w:rPr>
      </w:pPr>
      <w:r w:rsidRPr="00687E8C">
        <w:rPr>
          <w:rFonts w:cstheme="minorHAnsi"/>
          <w:shd w:val="clear" w:color="auto" w:fill="FFFFFF"/>
          <w:lang w:val="fr-FR"/>
        </w:rPr>
        <w:t>Le calendrier de cet Appel à projets est le suivant :</w:t>
      </w:r>
    </w:p>
    <w:p w14:paraId="47F46DFF" w14:textId="10211FCD" w:rsidR="00035DA0" w:rsidRPr="00687E8C" w:rsidRDefault="00035DA0" w:rsidP="00035DA0">
      <w:pPr>
        <w:pStyle w:val="Paragraphedeliste"/>
        <w:numPr>
          <w:ilvl w:val="0"/>
          <w:numId w:val="8"/>
        </w:numPr>
        <w:jc w:val="both"/>
        <w:rPr>
          <w:rFonts w:ascii="Roboto" w:hAnsi="Roboto" w:cstheme="minorHAnsi"/>
          <w:shd w:val="clear" w:color="auto" w:fill="FFFFFF"/>
        </w:rPr>
      </w:pPr>
      <w:r w:rsidRPr="00687E8C">
        <w:rPr>
          <w:rFonts w:ascii="Roboto" w:hAnsi="Roboto" w:cstheme="minorHAnsi"/>
          <w:shd w:val="clear" w:color="auto" w:fill="FFFFFF"/>
        </w:rPr>
        <w:t>La période de dépôt des candidatures sur le site web de l’Eurorégion (</w:t>
      </w:r>
      <w:hyperlink r:id="rId14" w:history="1">
        <w:r w:rsidRPr="00687E8C">
          <w:rPr>
            <w:rStyle w:val="Lienhypertexte"/>
            <w:rFonts w:ascii="Roboto" w:hAnsi="Roboto" w:cstheme="minorHAnsi"/>
            <w:shd w:val="clear" w:color="auto" w:fill="FFFFFF"/>
          </w:rPr>
          <w:t>www.euroregion-naen.eu</w:t>
        </w:r>
      </w:hyperlink>
      <w:r w:rsidRPr="00687E8C">
        <w:rPr>
          <w:rFonts w:ascii="Roboto" w:hAnsi="Roboto" w:cstheme="minorHAnsi"/>
          <w:color w:val="242424"/>
          <w:shd w:val="clear" w:color="auto" w:fill="FFFFFF"/>
        </w:rPr>
        <w:t xml:space="preserve"> </w:t>
      </w:r>
      <w:r w:rsidRPr="00687E8C">
        <w:rPr>
          <w:rFonts w:ascii="Roboto" w:hAnsi="Roboto" w:cstheme="minorHAnsi"/>
          <w:shd w:val="clear" w:color="auto" w:fill="FFFFFF"/>
        </w:rPr>
        <w:t xml:space="preserve">) est ouverte </w:t>
      </w:r>
      <w:r w:rsidRPr="009B410E">
        <w:rPr>
          <w:rFonts w:ascii="Roboto" w:hAnsi="Roboto" w:cstheme="minorHAnsi"/>
          <w:shd w:val="clear" w:color="auto" w:fill="FFFFFF"/>
        </w:rPr>
        <w:t>du 2</w:t>
      </w:r>
      <w:r w:rsidR="00475E42" w:rsidRPr="009B410E">
        <w:rPr>
          <w:rFonts w:ascii="Roboto" w:hAnsi="Roboto" w:cstheme="minorHAnsi"/>
          <w:shd w:val="clear" w:color="auto" w:fill="FFFFFF"/>
        </w:rPr>
        <w:t>8 septembre</w:t>
      </w:r>
      <w:r w:rsidRPr="009B410E">
        <w:rPr>
          <w:rFonts w:ascii="Roboto" w:hAnsi="Roboto" w:cstheme="minorHAnsi"/>
          <w:shd w:val="clear" w:color="auto" w:fill="FFFFFF"/>
        </w:rPr>
        <w:t xml:space="preserve"> au 3 </w:t>
      </w:r>
      <w:r w:rsidR="00475E42" w:rsidRPr="009B410E">
        <w:rPr>
          <w:rFonts w:ascii="Roboto" w:hAnsi="Roboto" w:cstheme="minorHAnsi"/>
          <w:shd w:val="clear" w:color="auto" w:fill="FFFFFF"/>
        </w:rPr>
        <w:t>novembre</w:t>
      </w:r>
      <w:r w:rsidRPr="009B410E">
        <w:rPr>
          <w:rFonts w:ascii="Roboto" w:hAnsi="Roboto" w:cstheme="minorHAnsi"/>
          <w:shd w:val="clear" w:color="auto" w:fill="FFFFFF"/>
        </w:rPr>
        <w:t xml:space="preserve"> 2022, à 12h00. Les candidatures transmises le 3 </w:t>
      </w:r>
      <w:r w:rsidR="00475E42" w:rsidRPr="009B410E">
        <w:rPr>
          <w:rFonts w:ascii="Roboto" w:hAnsi="Roboto" w:cstheme="minorHAnsi"/>
          <w:shd w:val="clear" w:color="auto" w:fill="FFFFFF"/>
        </w:rPr>
        <w:t xml:space="preserve">novembre </w:t>
      </w:r>
      <w:r w:rsidRPr="009B410E">
        <w:rPr>
          <w:rFonts w:ascii="Roboto" w:hAnsi="Roboto" w:cstheme="minorHAnsi"/>
          <w:shd w:val="clear" w:color="auto" w:fill="FFFFFF"/>
        </w:rPr>
        <w:t>2022 après</w:t>
      </w:r>
      <w:r w:rsidRPr="00687E8C">
        <w:rPr>
          <w:rFonts w:ascii="Roboto" w:hAnsi="Roboto" w:cstheme="minorHAnsi"/>
          <w:shd w:val="clear" w:color="auto" w:fill="FFFFFF"/>
        </w:rPr>
        <w:t xml:space="preserve"> 12h00 ne seront pas admises.</w:t>
      </w:r>
    </w:p>
    <w:p w14:paraId="072CB35F" w14:textId="593F94C0" w:rsidR="00035DA0" w:rsidRPr="00687E8C" w:rsidRDefault="00035DA0" w:rsidP="00035DA0">
      <w:pPr>
        <w:pStyle w:val="Paragraphedeliste"/>
        <w:numPr>
          <w:ilvl w:val="0"/>
          <w:numId w:val="8"/>
        </w:numPr>
        <w:jc w:val="both"/>
        <w:rPr>
          <w:rFonts w:ascii="Roboto" w:hAnsi="Roboto" w:cstheme="minorHAnsi"/>
          <w:shd w:val="clear" w:color="auto" w:fill="FFFFFF"/>
        </w:rPr>
      </w:pPr>
      <w:r w:rsidRPr="00687E8C">
        <w:rPr>
          <w:rFonts w:ascii="Roboto" w:hAnsi="Roboto" w:cstheme="minorHAnsi"/>
          <w:shd w:val="clear" w:color="auto" w:fill="FFFFFF"/>
        </w:rPr>
        <w:t>La résolution de l'appel aura lieu dans les 3 mois suivant la clôture de l'appel à projets</w:t>
      </w:r>
      <w:r w:rsidR="004578A0">
        <w:rPr>
          <w:rFonts w:ascii="Roboto" w:hAnsi="Roboto" w:cstheme="minorHAnsi"/>
          <w:shd w:val="clear" w:color="auto" w:fill="FFFFFF"/>
        </w:rPr>
        <w:t>.</w:t>
      </w:r>
    </w:p>
    <w:p w14:paraId="2159493C" w14:textId="31F26978" w:rsidR="00035DA0" w:rsidRPr="00687E8C" w:rsidRDefault="00035DA0" w:rsidP="00035DA0">
      <w:pPr>
        <w:spacing w:line="276" w:lineRule="auto"/>
        <w:rPr>
          <w:rFonts w:cstheme="minorHAnsi"/>
          <w:b/>
          <w:bCs/>
          <w:lang w:val="fr-FR"/>
        </w:rPr>
      </w:pPr>
      <w:r w:rsidRPr="00687E8C">
        <w:rPr>
          <w:rFonts w:cstheme="minorHAnsi"/>
          <w:b/>
          <w:bCs/>
          <w:lang w:val="fr-FR"/>
        </w:rPr>
        <w:t xml:space="preserve">Tout dossier incomplet bénéficiera d’un délai de complétude de 7 jours à compter de la notification. </w:t>
      </w:r>
      <w:r w:rsidRPr="00687E8C">
        <w:rPr>
          <w:rFonts w:cstheme="minorHAnsi"/>
          <w:lang w:val="fr-FR"/>
        </w:rPr>
        <w:t xml:space="preserve">Un fois ce délai écoulé sans présentation de la documentation demandée, le dossier sera automatiquement rejeté. </w:t>
      </w:r>
      <w:r w:rsidRPr="00687E8C">
        <w:rPr>
          <w:rFonts w:cstheme="minorHAnsi"/>
          <w:b/>
          <w:bCs/>
          <w:lang w:val="fr-FR"/>
        </w:rPr>
        <w:t xml:space="preserve">Aucun dossier non signé par tous les partenaires (acte </w:t>
      </w:r>
      <w:r w:rsidRPr="00687E8C">
        <w:rPr>
          <w:rFonts w:cstheme="minorHAnsi"/>
          <w:b/>
          <w:bCs/>
          <w:lang w:val="fr-FR"/>
        </w:rPr>
        <w:lastRenderedPageBreak/>
        <w:t>d’engagement et plan de financement) au moment du dépôt ne pourra bénéficier du délai de complétude.</w:t>
      </w:r>
    </w:p>
    <w:p w14:paraId="3B29CE02" w14:textId="532D9613" w:rsidR="00035DA0" w:rsidRPr="00803206" w:rsidRDefault="00035DA0" w:rsidP="00035DA0">
      <w:pPr>
        <w:pStyle w:val="Titre2"/>
      </w:pPr>
      <w:bookmarkStart w:id="8" w:name="_Toc94006606"/>
      <w:bookmarkStart w:id="9" w:name="_Toc96519898"/>
      <w:r>
        <w:t>Candidature et documents</w:t>
      </w:r>
      <w:bookmarkEnd w:id="8"/>
      <w:bookmarkEnd w:id="9"/>
    </w:p>
    <w:p w14:paraId="4DD0F2AD" w14:textId="17DC001D" w:rsidR="00035DA0" w:rsidRPr="00687E8C" w:rsidRDefault="00035DA0" w:rsidP="00035DA0">
      <w:pPr>
        <w:pStyle w:val="Default"/>
        <w:jc w:val="both"/>
        <w:rPr>
          <w:rFonts w:ascii="Roboto" w:hAnsi="Roboto" w:cstheme="minorHAnsi"/>
          <w:color w:val="auto"/>
          <w:sz w:val="22"/>
          <w:szCs w:val="22"/>
        </w:rPr>
      </w:pPr>
      <w:r w:rsidRPr="00687E8C">
        <w:rPr>
          <w:rFonts w:ascii="Roboto" w:hAnsi="Roboto" w:cstheme="minorHAnsi"/>
          <w:color w:val="auto"/>
          <w:sz w:val="22"/>
          <w:szCs w:val="22"/>
        </w:rPr>
        <w:t xml:space="preserve">Les projets </w:t>
      </w:r>
      <w:r w:rsidR="00702F53">
        <w:rPr>
          <w:rFonts w:ascii="Roboto" w:hAnsi="Roboto" w:cstheme="minorHAnsi"/>
          <w:color w:val="auto"/>
          <w:sz w:val="22"/>
          <w:szCs w:val="22"/>
        </w:rPr>
        <w:t xml:space="preserve">doivent être déposés de manière dématérialisée sur </w:t>
      </w:r>
      <w:r w:rsidRPr="00687E8C">
        <w:rPr>
          <w:rFonts w:ascii="Roboto" w:hAnsi="Roboto" w:cstheme="minorHAnsi"/>
          <w:color w:val="auto"/>
          <w:sz w:val="22"/>
          <w:szCs w:val="22"/>
        </w:rPr>
        <w:t>site Web de l'Eurorégion (</w:t>
      </w:r>
      <w:hyperlink r:id="rId15" w:history="1">
        <w:r w:rsidR="002E7786" w:rsidRPr="00121551">
          <w:rPr>
            <w:rStyle w:val="Lienhypertexte"/>
            <w:rFonts w:ascii="Roboto" w:hAnsi="Roboto" w:cstheme="minorHAnsi"/>
            <w:sz w:val="22"/>
            <w:szCs w:val="22"/>
          </w:rPr>
          <w:t>www.euroregion-naen.eu</w:t>
        </w:r>
      </w:hyperlink>
      <w:r w:rsidRPr="00687E8C">
        <w:rPr>
          <w:rFonts w:ascii="Roboto" w:hAnsi="Roboto" w:cstheme="minorHAnsi"/>
          <w:color w:val="auto"/>
          <w:sz w:val="22"/>
          <w:szCs w:val="22"/>
        </w:rPr>
        <w:t xml:space="preserve">) en remplissant le formulaire électronique et en présentant les documents suivants : </w:t>
      </w:r>
    </w:p>
    <w:p w14:paraId="63FAA96B" w14:textId="77777777" w:rsidR="00035DA0" w:rsidRPr="00687E8C" w:rsidRDefault="00035DA0" w:rsidP="00035DA0">
      <w:pPr>
        <w:pStyle w:val="Default"/>
        <w:numPr>
          <w:ilvl w:val="0"/>
          <w:numId w:val="10"/>
        </w:numPr>
        <w:jc w:val="both"/>
        <w:rPr>
          <w:rFonts w:ascii="Roboto" w:hAnsi="Roboto" w:cstheme="minorHAnsi"/>
          <w:color w:val="auto"/>
          <w:sz w:val="22"/>
          <w:szCs w:val="22"/>
        </w:rPr>
      </w:pPr>
      <w:r w:rsidRPr="006F7D75">
        <w:rPr>
          <w:rFonts w:ascii="Roboto" w:hAnsi="Roboto" w:cstheme="minorHAnsi"/>
          <w:b/>
          <w:bCs/>
          <w:color w:val="auto"/>
          <w:sz w:val="22"/>
          <w:szCs w:val="22"/>
        </w:rPr>
        <w:t>Fiche projet</w:t>
      </w:r>
      <w:r w:rsidRPr="00687E8C">
        <w:rPr>
          <w:rFonts w:ascii="Roboto" w:hAnsi="Roboto" w:cstheme="minorHAnsi"/>
          <w:color w:val="auto"/>
          <w:sz w:val="22"/>
          <w:szCs w:val="22"/>
        </w:rPr>
        <w:t xml:space="preserve">, </w:t>
      </w:r>
      <w:r w:rsidRPr="006F7D75">
        <w:rPr>
          <w:rFonts w:ascii="Roboto" w:hAnsi="Roboto" w:cstheme="minorHAnsi"/>
          <w:color w:val="auto"/>
          <w:sz w:val="22"/>
          <w:szCs w:val="22"/>
        </w:rPr>
        <w:t>dans les trois langues de travail de l’Eurorégion (basque, espagnol et français)</w:t>
      </w:r>
    </w:p>
    <w:p w14:paraId="22424E28" w14:textId="5FD44F09" w:rsidR="00035DA0" w:rsidRPr="00687E8C" w:rsidRDefault="00035DA0" w:rsidP="00035DA0">
      <w:pPr>
        <w:pStyle w:val="Default"/>
        <w:numPr>
          <w:ilvl w:val="0"/>
          <w:numId w:val="10"/>
        </w:numPr>
        <w:jc w:val="both"/>
        <w:rPr>
          <w:rFonts w:ascii="Roboto" w:hAnsi="Roboto" w:cstheme="minorHAnsi"/>
          <w:color w:val="auto"/>
          <w:sz w:val="22"/>
          <w:szCs w:val="22"/>
        </w:rPr>
      </w:pPr>
      <w:r w:rsidRPr="006F7D75">
        <w:rPr>
          <w:rFonts w:ascii="Roboto" w:hAnsi="Roboto" w:cstheme="minorHAnsi"/>
          <w:b/>
          <w:bCs/>
          <w:color w:val="auto"/>
          <w:sz w:val="22"/>
          <w:szCs w:val="22"/>
        </w:rPr>
        <w:t>Acte d'engagement</w:t>
      </w:r>
      <w:r w:rsidR="006F7D75">
        <w:rPr>
          <w:rFonts w:ascii="Roboto" w:hAnsi="Roboto" w:cstheme="minorHAnsi"/>
          <w:b/>
          <w:bCs/>
          <w:color w:val="auto"/>
          <w:sz w:val="22"/>
          <w:szCs w:val="22"/>
        </w:rPr>
        <w:t>,</w:t>
      </w:r>
      <w:r w:rsidRPr="00687E8C">
        <w:rPr>
          <w:rFonts w:ascii="Roboto" w:hAnsi="Roboto" w:cstheme="minorHAnsi"/>
          <w:color w:val="auto"/>
          <w:sz w:val="22"/>
          <w:szCs w:val="22"/>
        </w:rPr>
        <w:t xml:space="preserve"> signé par </w:t>
      </w:r>
      <w:r w:rsidR="00A2211B">
        <w:rPr>
          <w:rFonts w:ascii="Roboto" w:hAnsi="Roboto" w:cstheme="minorHAnsi"/>
          <w:color w:val="auto"/>
          <w:sz w:val="22"/>
          <w:szCs w:val="22"/>
        </w:rPr>
        <w:t xml:space="preserve">tous </w:t>
      </w:r>
      <w:r w:rsidRPr="00687E8C">
        <w:rPr>
          <w:rFonts w:ascii="Roboto" w:hAnsi="Roboto" w:cstheme="minorHAnsi"/>
          <w:color w:val="auto"/>
          <w:sz w:val="22"/>
          <w:szCs w:val="22"/>
        </w:rPr>
        <w:t xml:space="preserve">les partenaires (signature électronique ou scannée). </w:t>
      </w:r>
    </w:p>
    <w:p w14:paraId="64BD17AA" w14:textId="6F2EAAAB" w:rsidR="00035DA0" w:rsidRPr="00687E8C" w:rsidRDefault="00035DA0" w:rsidP="00035DA0">
      <w:pPr>
        <w:pStyle w:val="Default"/>
        <w:numPr>
          <w:ilvl w:val="0"/>
          <w:numId w:val="10"/>
        </w:numPr>
        <w:jc w:val="both"/>
        <w:rPr>
          <w:rFonts w:ascii="Roboto" w:hAnsi="Roboto" w:cstheme="minorHAnsi"/>
          <w:color w:val="auto"/>
          <w:sz w:val="22"/>
          <w:szCs w:val="22"/>
        </w:rPr>
      </w:pPr>
      <w:r w:rsidRPr="006F7D75">
        <w:rPr>
          <w:rFonts w:ascii="Roboto" w:hAnsi="Roboto" w:cstheme="minorHAnsi"/>
          <w:b/>
          <w:bCs/>
          <w:color w:val="auto"/>
          <w:sz w:val="22"/>
          <w:szCs w:val="22"/>
        </w:rPr>
        <w:t>Déclaration Responsable</w:t>
      </w:r>
      <w:r w:rsidR="006F7D75">
        <w:rPr>
          <w:rFonts w:ascii="Roboto" w:hAnsi="Roboto" w:cstheme="minorHAnsi"/>
          <w:color w:val="auto"/>
          <w:sz w:val="22"/>
          <w:szCs w:val="22"/>
        </w:rPr>
        <w:t> : l</w:t>
      </w:r>
      <w:r w:rsidRPr="00687E8C">
        <w:rPr>
          <w:rFonts w:ascii="Roboto" w:hAnsi="Roboto" w:cstheme="minorHAnsi"/>
          <w:color w:val="auto"/>
          <w:sz w:val="22"/>
          <w:szCs w:val="22"/>
        </w:rPr>
        <w:t xml:space="preserve">e candidat veillera, dans le respect des dispositions relatives au ‘’de minimis’’, à préciser, pour les trois derniers exercices, les subventions publiques perçues ou à percevoir, ainsi que déclaration de non-récupération de la TVA, si concerné.  </w:t>
      </w:r>
    </w:p>
    <w:p w14:paraId="4541CB5F" w14:textId="0471C5BA" w:rsidR="00035DA0" w:rsidRPr="00687E8C" w:rsidRDefault="00035DA0" w:rsidP="00035DA0">
      <w:pPr>
        <w:pStyle w:val="Default"/>
        <w:numPr>
          <w:ilvl w:val="0"/>
          <w:numId w:val="10"/>
        </w:numPr>
        <w:jc w:val="both"/>
        <w:rPr>
          <w:rFonts w:ascii="Roboto" w:hAnsi="Roboto" w:cstheme="minorHAnsi"/>
          <w:color w:val="auto"/>
          <w:sz w:val="22"/>
          <w:szCs w:val="22"/>
        </w:rPr>
      </w:pPr>
      <w:r w:rsidRPr="009E25D6">
        <w:rPr>
          <w:rFonts w:ascii="Roboto" w:hAnsi="Roboto" w:cstheme="minorHAnsi"/>
          <w:b/>
          <w:bCs/>
          <w:color w:val="auto"/>
          <w:sz w:val="22"/>
          <w:szCs w:val="22"/>
        </w:rPr>
        <w:t>Plan de financement</w:t>
      </w:r>
      <w:r w:rsidR="009E25D6">
        <w:rPr>
          <w:rFonts w:ascii="Roboto" w:hAnsi="Roboto" w:cstheme="minorHAnsi"/>
          <w:color w:val="auto"/>
          <w:sz w:val="22"/>
          <w:szCs w:val="22"/>
        </w:rPr>
        <w:t xml:space="preserve">, </w:t>
      </w:r>
      <w:r w:rsidRPr="00687E8C">
        <w:rPr>
          <w:rFonts w:ascii="Roboto" w:hAnsi="Roboto" w:cstheme="minorHAnsi"/>
          <w:color w:val="auto"/>
          <w:sz w:val="22"/>
          <w:szCs w:val="22"/>
        </w:rPr>
        <w:t xml:space="preserve">signé par les partenaires (signature électronique ou scannée). </w:t>
      </w:r>
    </w:p>
    <w:p w14:paraId="0823C399" w14:textId="77777777" w:rsidR="00035DA0" w:rsidRPr="00687E8C" w:rsidRDefault="00035DA0" w:rsidP="00035DA0">
      <w:pPr>
        <w:pStyle w:val="Default"/>
        <w:spacing w:line="276" w:lineRule="auto"/>
        <w:jc w:val="both"/>
        <w:rPr>
          <w:rFonts w:ascii="Roboto" w:hAnsi="Roboto" w:cstheme="minorHAnsi"/>
          <w:color w:val="auto"/>
          <w:sz w:val="22"/>
          <w:szCs w:val="22"/>
        </w:rPr>
      </w:pPr>
    </w:p>
    <w:p w14:paraId="07707A74" w14:textId="1399A131" w:rsidR="00035DA0" w:rsidRPr="00687E8C" w:rsidRDefault="00035DA0" w:rsidP="00035DA0">
      <w:pPr>
        <w:pStyle w:val="Default"/>
        <w:spacing w:line="276" w:lineRule="auto"/>
        <w:jc w:val="both"/>
        <w:rPr>
          <w:rFonts w:ascii="Roboto" w:hAnsi="Roboto" w:cstheme="minorHAnsi"/>
          <w:color w:val="auto"/>
          <w:sz w:val="22"/>
          <w:szCs w:val="22"/>
        </w:rPr>
      </w:pPr>
      <w:r w:rsidRPr="00687E8C">
        <w:rPr>
          <w:rFonts w:ascii="Roboto" w:hAnsi="Roboto" w:cstheme="minorHAnsi"/>
          <w:color w:val="auto"/>
          <w:sz w:val="22"/>
          <w:szCs w:val="22"/>
        </w:rPr>
        <w:t xml:space="preserve">Un accusé de réception sous forme de message électronique, faisant foi, sera adressé à l’issue de la procédure d’enregistrement. Aucun dossier sur papier n'est recevable. </w:t>
      </w:r>
    </w:p>
    <w:p w14:paraId="0116764E" w14:textId="77777777" w:rsidR="00035DA0" w:rsidRPr="00687E8C" w:rsidRDefault="00035DA0" w:rsidP="00035DA0">
      <w:pPr>
        <w:pStyle w:val="Default"/>
        <w:jc w:val="both"/>
        <w:rPr>
          <w:rFonts w:ascii="Roboto" w:hAnsi="Roboto" w:cstheme="minorHAnsi"/>
          <w:color w:val="auto"/>
          <w:sz w:val="22"/>
          <w:szCs w:val="22"/>
        </w:rPr>
      </w:pPr>
    </w:p>
    <w:p w14:paraId="55C550B9" w14:textId="77777777" w:rsidR="00035DA0" w:rsidRPr="00687E8C" w:rsidRDefault="00035DA0" w:rsidP="00035DA0">
      <w:pPr>
        <w:pStyle w:val="Default"/>
        <w:jc w:val="both"/>
        <w:rPr>
          <w:rFonts w:ascii="Roboto" w:hAnsi="Roboto" w:cstheme="minorHAnsi"/>
          <w:color w:val="auto"/>
          <w:sz w:val="22"/>
          <w:szCs w:val="22"/>
        </w:rPr>
      </w:pPr>
      <w:r w:rsidRPr="00687E8C">
        <w:rPr>
          <w:rFonts w:ascii="Roboto" w:hAnsi="Roboto" w:cstheme="minorHAnsi"/>
          <w:b/>
          <w:bCs/>
          <w:color w:val="auto"/>
          <w:sz w:val="22"/>
          <w:szCs w:val="22"/>
        </w:rPr>
        <w:t xml:space="preserve">Les documents devront être conservés dans leur forme originale et mis à disposition des agents de l’Eurorégion sur simple demande. </w:t>
      </w:r>
    </w:p>
    <w:p w14:paraId="0DB6A081" w14:textId="77777777" w:rsidR="00035DA0" w:rsidRPr="00687E8C" w:rsidRDefault="00035DA0" w:rsidP="00035DA0">
      <w:pPr>
        <w:pStyle w:val="Default"/>
        <w:jc w:val="both"/>
        <w:rPr>
          <w:rFonts w:ascii="Roboto" w:hAnsi="Roboto" w:cstheme="minorHAnsi"/>
          <w:color w:val="auto"/>
          <w:sz w:val="22"/>
          <w:szCs w:val="22"/>
        </w:rPr>
      </w:pPr>
    </w:p>
    <w:p w14:paraId="323824E5" w14:textId="77777777" w:rsidR="00035DA0" w:rsidRPr="00687E8C" w:rsidRDefault="00035DA0" w:rsidP="00035DA0">
      <w:pPr>
        <w:pStyle w:val="Default"/>
        <w:jc w:val="both"/>
        <w:rPr>
          <w:rFonts w:ascii="Roboto" w:hAnsi="Roboto" w:cstheme="minorHAnsi"/>
          <w:color w:val="auto"/>
          <w:sz w:val="22"/>
          <w:szCs w:val="22"/>
        </w:rPr>
      </w:pPr>
      <w:r w:rsidRPr="00687E8C">
        <w:rPr>
          <w:rFonts w:ascii="Roboto" w:hAnsi="Roboto" w:cstheme="minorHAnsi"/>
          <w:color w:val="auto"/>
          <w:sz w:val="22"/>
          <w:szCs w:val="22"/>
        </w:rPr>
        <w:t xml:space="preserve">Au cas où le projet serait sélectionné, les partenaires devront fournir des documents complémentaires : </w:t>
      </w:r>
    </w:p>
    <w:p w14:paraId="2EEC293A" w14:textId="77777777" w:rsidR="00035DA0" w:rsidRPr="00687E8C" w:rsidRDefault="00035DA0" w:rsidP="00035DA0">
      <w:pPr>
        <w:pStyle w:val="Default"/>
        <w:numPr>
          <w:ilvl w:val="0"/>
          <w:numId w:val="11"/>
        </w:numPr>
        <w:jc w:val="both"/>
        <w:rPr>
          <w:rFonts w:ascii="Roboto" w:hAnsi="Roboto" w:cstheme="minorHAnsi"/>
          <w:color w:val="auto"/>
          <w:sz w:val="22"/>
          <w:szCs w:val="22"/>
        </w:rPr>
      </w:pPr>
      <w:r w:rsidRPr="00687E8C">
        <w:rPr>
          <w:rFonts w:ascii="Roboto" w:hAnsi="Roboto" w:cstheme="minorHAnsi"/>
          <w:color w:val="auto"/>
          <w:sz w:val="22"/>
          <w:szCs w:val="22"/>
        </w:rPr>
        <w:t>CIF ou SIRET</w:t>
      </w:r>
    </w:p>
    <w:p w14:paraId="34F66D37" w14:textId="3202AA58" w:rsidR="00035DA0" w:rsidRPr="00687E8C" w:rsidRDefault="00035DA0" w:rsidP="00035DA0">
      <w:pPr>
        <w:pStyle w:val="Default"/>
        <w:numPr>
          <w:ilvl w:val="0"/>
          <w:numId w:val="11"/>
        </w:numPr>
        <w:jc w:val="both"/>
        <w:rPr>
          <w:rFonts w:ascii="Roboto" w:hAnsi="Roboto"/>
          <w:color w:val="auto"/>
        </w:rPr>
      </w:pPr>
      <w:r w:rsidRPr="00687E8C">
        <w:rPr>
          <w:rFonts w:ascii="Roboto" w:hAnsi="Roboto" w:cstheme="minorHAnsi"/>
          <w:color w:val="auto"/>
          <w:sz w:val="22"/>
          <w:szCs w:val="22"/>
        </w:rPr>
        <w:t>RIB ou certificat de compte bancaire au format SEPA (IBAN, BIC) signé par l’autorité bancaire</w:t>
      </w:r>
      <w:r w:rsidR="009E25D6">
        <w:rPr>
          <w:rFonts w:ascii="Roboto" w:hAnsi="Roboto" w:cstheme="minorHAnsi"/>
          <w:color w:val="auto"/>
          <w:sz w:val="22"/>
          <w:szCs w:val="22"/>
        </w:rPr>
        <w:t xml:space="preserve"> et daté de moins de 6 mois. </w:t>
      </w:r>
    </w:p>
    <w:p w14:paraId="44B602AA" w14:textId="77777777" w:rsidR="00035DA0" w:rsidRDefault="00035DA0" w:rsidP="00035DA0">
      <w:pPr>
        <w:pStyle w:val="Default"/>
        <w:ind w:left="720"/>
        <w:jc w:val="both"/>
      </w:pPr>
    </w:p>
    <w:p w14:paraId="18BB2BEE" w14:textId="6662E6F5" w:rsidR="00035DA0" w:rsidRPr="004415AE" w:rsidRDefault="00035DA0" w:rsidP="00035DA0">
      <w:pPr>
        <w:pStyle w:val="Titre2"/>
      </w:pPr>
      <w:bookmarkStart w:id="10" w:name="_Toc94006607"/>
      <w:bookmarkStart w:id="11" w:name="_Toc96519899"/>
      <w:r>
        <w:t xml:space="preserve">Calendrier de </w:t>
      </w:r>
      <w:r w:rsidRPr="004415AE">
        <w:t>réalisation</w:t>
      </w:r>
      <w:bookmarkEnd w:id="10"/>
      <w:bookmarkEnd w:id="11"/>
    </w:p>
    <w:p w14:paraId="3092A57F" w14:textId="18B15192" w:rsidR="009E25D6" w:rsidRDefault="00035DA0" w:rsidP="009E25D6">
      <w:pPr>
        <w:pStyle w:val="Default"/>
        <w:jc w:val="both"/>
        <w:rPr>
          <w:rFonts w:ascii="Roboto" w:hAnsi="Roboto" w:cstheme="minorHAnsi"/>
          <w:sz w:val="22"/>
          <w:szCs w:val="22"/>
        </w:rPr>
      </w:pPr>
      <w:r w:rsidRPr="004415AE">
        <w:rPr>
          <w:rFonts w:ascii="Roboto" w:hAnsi="Roboto" w:cstheme="minorHAnsi"/>
          <w:sz w:val="22"/>
          <w:szCs w:val="22"/>
        </w:rPr>
        <w:t xml:space="preserve">La durée du projet </w:t>
      </w:r>
      <w:r w:rsidRPr="004415AE">
        <w:rPr>
          <w:rFonts w:ascii="Roboto" w:hAnsi="Roboto" w:cstheme="minorHAnsi"/>
          <w:b/>
          <w:bCs/>
          <w:sz w:val="22"/>
          <w:szCs w:val="22"/>
        </w:rPr>
        <w:t>ne pourra pas excéder 1</w:t>
      </w:r>
      <w:r w:rsidR="007444CF" w:rsidRPr="004415AE">
        <w:rPr>
          <w:rFonts w:ascii="Roboto" w:hAnsi="Roboto" w:cstheme="minorHAnsi"/>
          <w:b/>
          <w:bCs/>
          <w:sz w:val="22"/>
          <w:szCs w:val="22"/>
        </w:rPr>
        <w:t>8</w:t>
      </w:r>
      <w:r w:rsidRPr="004415AE">
        <w:rPr>
          <w:rFonts w:ascii="Roboto" w:hAnsi="Roboto" w:cstheme="minorHAnsi"/>
          <w:b/>
          <w:bCs/>
          <w:sz w:val="22"/>
          <w:szCs w:val="22"/>
        </w:rPr>
        <w:t xml:space="preserve"> mois </w:t>
      </w:r>
      <w:r w:rsidRPr="004415AE">
        <w:rPr>
          <w:rFonts w:ascii="Roboto" w:hAnsi="Roboto" w:cstheme="minorHAnsi"/>
          <w:sz w:val="22"/>
          <w:szCs w:val="22"/>
        </w:rPr>
        <w:t>à compter de la date de notification de la sélection. Les projets achevés avant la sélection ne seront pas considérés</w:t>
      </w:r>
      <w:r w:rsidRPr="009E25D6">
        <w:rPr>
          <w:rFonts w:ascii="Roboto" w:hAnsi="Roboto" w:cstheme="minorHAnsi"/>
          <w:sz w:val="22"/>
          <w:szCs w:val="22"/>
        </w:rPr>
        <w:t>.</w:t>
      </w:r>
    </w:p>
    <w:p w14:paraId="58F3ACF8" w14:textId="240A0C9D" w:rsidR="00035DA0" w:rsidRPr="009E25D6" w:rsidRDefault="00035DA0" w:rsidP="009E25D6">
      <w:pPr>
        <w:pStyle w:val="Default"/>
        <w:jc w:val="both"/>
        <w:rPr>
          <w:rFonts w:ascii="Roboto" w:hAnsi="Roboto" w:cstheme="minorHAnsi"/>
          <w:sz w:val="22"/>
          <w:szCs w:val="22"/>
        </w:rPr>
      </w:pPr>
      <w:r w:rsidRPr="009E25D6">
        <w:rPr>
          <w:rFonts w:ascii="Roboto" w:hAnsi="Roboto" w:cstheme="minorHAnsi"/>
          <w:sz w:val="22"/>
          <w:szCs w:val="22"/>
        </w:rPr>
        <w:tab/>
      </w:r>
    </w:p>
    <w:p w14:paraId="7C9CC8A7" w14:textId="708FB167" w:rsidR="00035DA0" w:rsidRPr="009E25D6" w:rsidRDefault="00035DA0" w:rsidP="00035DA0">
      <w:pPr>
        <w:tabs>
          <w:tab w:val="left" w:pos="6105"/>
        </w:tabs>
        <w:rPr>
          <w:rFonts w:cstheme="minorHAnsi"/>
          <w:lang w:val="fr-FR"/>
        </w:rPr>
      </w:pPr>
      <w:r w:rsidRPr="009E25D6">
        <w:rPr>
          <w:rFonts w:cstheme="minorHAnsi"/>
          <w:lang w:val="fr-FR"/>
        </w:rPr>
        <w:t>Les projets peuvent être lancés avant la date de sélection, cependant seules les dépenses effectuées à partir de cette date seront éligibles.</w:t>
      </w:r>
    </w:p>
    <w:p w14:paraId="6BD4507C" w14:textId="4570128A" w:rsidR="00035DA0" w:rsidRDefault="00035DA0" w:rsidP="00035DA0">
      <w:pPr>
        <w:pStyle w:val="Titre1"/>
      </w:pPr>
      <w:bookmarkStart w:id="12" w:name="_Toc94006608"/>
      <w:bookmarkStart w:id="13" w:name="_Toc96519900"/>
      <w:r>
        <w:t>Procédure d’instruction</w:t>
      </w:r>
      <w:bookmarkEnd w:id="12"/>
      <w:bookmarkEnd w:id="13"/>
    </w:p>
    <w:p w14:paraId="4B20851B" w14:textId="77777777" w:rsidR="00035DA0" w:rsidRPr="0031363D" w:rsidRDefault="00035DA0" w:rsidP="00035DA0">
      <w:pPr>
        <w:rPr>
          <w:lang w:val="fr-FR"/>
        </w:rPr>
      </w:pPr>
      <w:r w:rsidRPr="0031363D">
        <w:rPr>
          <w:lang w:val="fr-FR"/>
        </w:rPr>
        <w:t xml:space="preserve">L’instruction des dossiers présentés à l’Appel à projets se fait en différentes phases : </w:t>
      </w:r>
    </w:p>
    <w:p w14:paraId="399F318E" w14:textId="77777777" w:rsidR="00035DA0" w:rsidRPr="00035DA0" w:rsidRDefault="00035DA0" w:rsidP="00035DA0">
      <w:pPr>
        <w:pStyle w:val="Paragraphedeliste"/>
        <w:numPr>
          <w:ilvl w:val="0"/>
          <w:numId w:val="13"/>
        </w:numPr>
        <w:rPr>
          <w:rFonts w:ascii="Roboto" w:hAnsi="Roboto"/>
        </w:rPr>
      </w:pPr>
      <w:r w:rsidRPr="00035DA0">
        <w:rPr>
          <w:rFonts w:ascii="Roboto" w:hAnsi="Roboto"/>
        </w:rPr>
        <w:t>Phase de vérification des critères de recevabilité des projets et partenaires.</w:t>
      </w:r>
    </w:p>
    <w:p w14:paraId="2B3CD8C6" w14:textId="77777777" w:rsidR="00035DA0" w:rsidRPr="00035DA0" w:rsidRDefault="00035DA0" w:rsidP="00035DA0">
      <w:pPr>
        <w:pStyle w:val="Paragraphedeliste"/>
        <w:numPr>
          <w:ilvl w:val="0"/>
          <w:numId w:val="13"/>
        </w:numPr>
        <w:rPr>
          <w:rFonts w:ascii="Roboto" w:hAnsi="Roboto"/>
        </w:rPr>
      </w:pPr>
      <w:r w:rsidRPr="00035DA0">
        <w:rPr>
          <w:rFonts w:ascii="Roboto" w:hAnsi="Roboto"/>
        </w:rPr>
        <w:lastRenderedPageBreak/>
        <w:t>Phase d’instruction technique des dossiers par les équipes techniques des trois gouvernements membres de l’Eurorégion.</w:t>
      </w:r>
    </w:p>
    <w:p w14:paraId="4B87AF0E" w14:textId="3955A6B3" w:rsidR="00035DA0" w:rsidRPr="00035DA0" w:rsidRDefault="00035DA0" w:rsidP="00035DA0">
      <w:pPr>
        <w:pStyle w:val="Paragraphedeliste"/>
        <w:numPr>
          <w:ilvl w:val="0"/>
          <w:numId w:val="13"/>
        </w:numPr>
        <w:rPr>
          <w:rFonts w:ascii="Roboto" w:hAnsi="Roboto" w:cs="Calibri"/>
        </w:rPr>
      </w:pPr>
      <w:r w:rsidRPr="00035DA0">
        <w:rPr>
          <w:rFonts w:ascii="Roboto" w:hAnsi="Roboto"/>
        </w:rPr>
        <w:t>Sélection par le Bureau Exécutif de l’Eurorégion.</w:t>
      </w:r>
    </w:p>
    <w:p w14:paraId="318DAF0C" w14:textId="353873EE" w:rsidR="00035DA0" w:rsidRDefault="00035DA0" w:rsidP="00035DA0">
      <w:pPr>
        <w:pStyle w:val="Titre1"/>
      </w:pPr>
      <w:bookmarkStart w:id="14" w:name="_Toc94006609"/>
      <w:bookmarkStart w:id="15" w:name="_Toc96519901"/>
      <w:r>
        <w:t>Critères de sélection</w:t>
      </w:r>
      <w:bookmarkEnd w:id="14"/>
      <w:bookmarkEnd w:id="15"/>
    </w:p>
    <w:p w14:paraId="238133F5" w14:textId="77777777" w:rsidR="00035DA0" w:rsidRPr="0031363D" w:rsidRDefault="00035DA0" w:rsidP="00035DA0">
      <w:pPr>
        <w:rPr>
          <w:lang w:val="fr-FR"/>
        </w:rPr>
      </w:pPr>
      <w:r w:rsidRPr="0031363D">
        <w:rPr>
          <w:lang w:val="fr-FR"/>
        </w:rPr>
        <w:t xml:space="preserve">Les critères utilisés pour la sélection des projets sont les suivants : </w:t>
      </w:r>
    </w:p>
    <w:tbl>
      <w:tblPr>
        <w:tblStyle w:val="Grilledutableau"/>
        <w:tblW w:w="0" w:type="auto"/>
        <w:tblLook w:val="04A0" w:firstRow="1" w:lastRow="0" w:firstColumn="1" w:lastColumn="0" w:noHBand="0" w:noVBand="1"/>
      </w:tblPr>
      <w:tblGrid>
        <w:gridCol w:w="6658"/>
        <w:gridCol w:w="2404"/>
      </w:tblGrid>
      <w:tr w:rsidR="00035DA0" w14:paraId="52BCA281" w14:textId="77777777" w:rsidTr="00B74AA1">
        <w:trPr>
          <w:trHeight w:val="737"/>
        </w:trPr>
        <w:tc>
          <w:tcPr>
            <w:tcW w:w="6658" w:type="dxa"/>
            <w:vAlign w:val="center"/>
          </w:tcPr>
          <w:p w14:paraId="22512893" w14:textId="0F514BF2" w:rsidR="00035DA0" w:rsidRDefault="00035DA0" w:rsidP="00B74AA1">
            <w:pPr>
              <w:jc w:val="left"/>
            </w:pPr>
            <w:r w:rsidRPr="004D6935">
              <w:t>Pertinence du partenariat</w:t>
            </w:r>
          </w:p>
        </w:tc>
        <w:tc>
          <w:tcPr>
            <w:tcW w:w="2404" w:type="dxa"/>
            <w:vAlign w:val="center"/>
          </w:tcPr>
          <w:p w14:paraId="1E8E4368" w14:textId="799B2DB6" w:rsidR="00035DA0" w:rsidRPr="00EE2F23" w:rsidRDefault="004415AE" w:rsidP="007444CF">
            <w:pPr>
              <w:jc w:val="center"/>
              <w:rPr>
                <w:b/>
                <w:bCs/>
              </w:rPr>
            </w:pPr>
            <w:r>
              <w:rPr>
                <w:b/>
                <w:bCs/>
              </w:rPr>
              <w:t>1</w:t>
            </w:r>
            <w:r w:rsidR="00501D3F">
              <w:rPr>
                <w:b/>
                <w:bCs/>
              </w:rPr>
              <w:t>5</w:t>
            </w:r>
            <w:r w:rsidR="004578A0">
              <w:rPr>
                <w:b/>
                <w:bCs/>
              </w:rPr>
              <w:t xml:space="preserve"> </w:t>
            </w:r>
            <w:r w:rsidR="00035DA0" w:rsidRPr="00EE2F23">
              <w:rPr>
                <w:b/>
                <w:bCs/>
              </w:rPr>
              <w:t>points</w:t>
            </w:r>
          </w:p>
        </w:tc>
      </w:tr>
      <w:tr w:rsidR="00035DA0" w14:paraId="30E6EFA7" w14:textId="77777777" w:rsidTr="00B74AA1">
        <w:trPr>
          <w:trHeight w:val="737"/>
        </w:trPr>
        <w:tc>
          <w:tcPr>
            <w:tcW w:w="6658" w:type="dxa"/>
            <w:vAlign w:val="center"/>
          </w:tcPr>
          <w:p w14:paraId="55BD836A" w14:textId="7605C930" w:rsidR="00035DA0" w:rsidRDefault="001A7A4B" w:rsidP="001A7A4B">
            <w:pPr>
              <w:jc w:val="left"/>
            </w:pPr>
            <w:r w:rsidRPr="00776866">
              <w:t>C</w:t>
            </w:r>
            <w:r w:rsidR="001F6EC6" w:rsidRPr="00776866">
              <w:t xml:space="preserve">aractère </w:t>
            </w:r>
            <w:r w:rsidRPr="00776866">
              <w:t>innovant</w:t>
            </w:r>
            <w:r>
              <w:t xml:space="preserve"> </w:t>
            </w:r>
          </w:p>
        </w:tc>
        <w:tc>
          <w:tcPr>
            <w:tcW w:w="2404" w:type="dxa"/>
            <w:vAlign w:val="center"/>
          </w:tcPr>
          <w:p w14:paraId="626752F8" w14:textId="46714105" w:rsidR="00035DA0" w:rsidRPr="00EE2F23" w:rsidRDefault="00CA4D63" w:rsidP="00B74AA1">
            <w:pPr>
              <w:jc w:val="center"/>
              <w:rPr>
                <w:b/>
                <w:bCs/>
              </w:rPr>
            </w:pPr>
            <w:r>
              <w:rPr>
                <w:b/>
                <w:bCs/>
              </w:rPr>
              <w:t>20</w:t>
            </w:r>
            <w:r w:rsidR="00035DA0" w:rsidRPr="00776866">
              <w:rPr>
                <w:b/>
                <w:bCs/>
              </w:rPr>
              <w:t xml:space="preserve"> points</w:t>
            </w:r>
          </w:p>
        </w:tc>
      </w:tr>
      <w:tr w:rsidR="00035DA0" w14:paraId="2DB82BDE" w14:textId="77777777" w:rsidTr="00B74AA1">
        <w:trPr>
          <w:trHeight w:val="737"/>
        </w:trPr>
        <w:tc>
          <w:tcPr>
            <w:tcW w:w="6658" w:type="dxa"/>
            <w:vAlign w:val="center"/>
          </w:tcPr>
          <w:p w14:paraId="492CD353" w14:textId="26053AC4" w:rsidR="00035DA0" w:rsidRDefault="00035DA0" w:rsidP="001A7A4B">
            <w:pPr>
              <w:jc w:val="left"/>
            </w:pPr>
            <w:r>
              <w:t>Pertinence</w:t>
            </w:r>
            <w:r w:rsidR="001A7A4B">
              <w:t xml:space="preserve"> des thématiques, des objectifs et</w:t>
            </w:r>
            <w:r>
              <w:t xml:space="preserve"> du plan d’action</w:t>
            </w:r>
            <w:r w:rsidR="001A7A4B">
              <w:t>s</w:t>
            </w:r>
            <w:r>
              <w:t xml:space="preserve"> du projet</w:t>
            </w:r>
            <w:r w:rsidR="001A7A4B">
              <w:t xml:space="preserve"> au regard de </w:t>
            </w:r>
            <w:r w:rsidR="00776866">
              <w:t xml:space="preserve">l’objet de l’appel à </w:t>
            </w:r>
            <w:r w:rsidR="004415AE">
              <w:t>projets :</w:t>
            </w:r>
            <w:r>
              <w:t xml:space="preserve"> faisabilité, calendrier de réalisation et budget</w:t>
            </w:r>
          </w:p>
        </w:tc>
        <w:tc>
          <w:tcPr>
            <w:tcW w:w="2404" w:type="dxa"/>
            <w:vAlign w:val="center"/>
          </w:tcPr>
          <w:p w14:paraId="57B3F483" w14:textId="16463907" w:rsidR="00035DA0" w:rsidRPr="00EE2F23" w:rsidRDefault="00CA4D63" w:rsidP="00B74AA1">
            <w:pPr>
              <w:jc w:val="center"/>
              <w:rPr>
                <w:b/>
                <w:bCs/>
              </w:rPr>
            </w:pPr>
            <w:r>
              <w:rPr>
                <w:b/>
                <w:bCs/>
              </w:rPr>
              <w:t>25</w:t>
            </w:r>
            <w:r w:rsidR="00035DA0" w:rsidRPr="00EE2F23">
              <w:rPr>
                <w:b/>
                <w:bCs/>
              </w:rPr>
              <w:t xml:space="preserve"> points</w:t>
            </w:r>
          </w:p>
        </w:tc>
      </w:tr>
      <w:tr w:rsidR="00035DA0" w14:paraId="4956E0C1" w14:textId="77777777" w:rsidTr="00B74AA1">
        <w:trPr>
          <w:trHeight w:val="737"/>
        </w:trPr>
        <w:tc>
          <w:tcPr>
            <w:tcW w:w="6658" w:type="dxa"/>
            <w:vAlign w:val="center"/>
          </w:tcPr>
          <w:p w14:paraId="45541A17" w14:textId="34BFDC54" w:rsidR="00035DA0" w:rsidRDefault="0031363D" w:rsidP="00B74AA1">
            <w:pPr>
              <w:jc w:val="left"/>
            </w:pPr>
            <w:r w:rsidRPr="002D5C65">
              <w:t xml:space="preserve">Diffusion </w:t>
            </w:r>
            <w:r w:rsidR="00B075AF" w:rsidRPr="002D5C65">
              <w:t xml:space="preserve">et communication sur </w:t>
            </w:r>
            <w:r w:rsidR="002D5C65" w:rsidRPr="002D5C65">
              <w:t>l’espace</w:t>
            </w:r>
            <w:r w:rsidR="00B075AF" w:rsidRPr="002D5C65">
              <w:t xml:space="preserve"> </w:t>
            </w:r>
            <w:proofErr w:type="spellStart"/>
            <w:r w:rsidR="00B075AF" w:rsidRPr="002D5C65">
              <w:t>eurorégional</w:t>
            </w:r>
            <w:proofErr w:type="spellEnd"/>
          </w:p>
        </w:tc>
        <w:tc>
          <w:tcPr>
            <w:tcW w:w="2404" w:type="dxa"/>
            <w:vAlign w:val="center"/>
          </w:tcPr>
          <w:p w14:paraId="4679CA68" w14:textId="77777777" w:rsidR="00035DA0" w:rsidRPr="00EE2F23" w:rsidRDefault="00035DA0" w:rsidP="00B74AA1">
            <w:pPr>
              <w:jc w:val="center"/>
              <w:rPr>
                <w:b/>
                <w:bCs/>
              </w:rPr>
            </w:pPr>
            <w:r w:rsidRPr="00EE2F23">
              <w:rPr>
                <w:b/>
                <w:bCs/>
              </w:rPr>
              <w:t>10 points</w:t>
            </w:r>
          </w:p>
        </w:tc>
      </w:tr>
      <w:tr w:rsidR="00035DA0" w14:paraId="6CE7D4A9" w14:textId="77777777" w:rsidTr="00B74AA1">
        <w:trPr>
          <w:trHeight w:val="737"/>
        </w:trPr>
        <w:tc>
          <w:tcPr>
            <w:tcW w:w="6658" w:type="dxa"/>
            <w:vAlign w:val="center"/>
          </w:tcPr>
          <w:p w14:paraId="24F93850" w14:textId="5A2D7103" w:rsidR="00035DA0" w:rsidRPr="00776866" w:rsidRDefault="00035DA0" w:rsidP="00B74AA1">
            <w:pPr>
              <w:jc w:val="left"/>
            </w:pPr>
            <w:r w:rsidRPr="00776866">
              <w:t xml:space="preserve">Dimension </w:t>
            </w:r>
            <w:proofErr w:type="spellStart"/>
            <w:r w:rsidRPr="00776866">
              <w:t>eurorégionale</w:t>
            </w:r>
            <w:proofErr w:type="spellEnd"/>
            <w:r w:rsidRPr="00776866">
              <w:t xml:space="preserve"> du projet</w:t>
            </w:r>
            <w:r w:rsidR="001A7A4B" w:rsidRPr="00776866">
              <w:t xml:space="preserve"> et caractère transfrontalier </w:t>
            </w:r>
          </w:p>
        </w:tc>
        <w:tc>
          <w:tcPr>
            <w:tcW w:w="2404" w:type="dxa"/>
            <w:vAlign w:val="center"/>
          </w:tcPr>
          <w:p w14:paraId="07F213A2" w14:textId="3ABCB9AF" w:rsidR="00035DA0" w:rsidRPr="00776866" w:rsidRDefault="003C0C12" w:rsidP="00B74AA1">
            <w:pPr>
              <w:jc w:val="center"/>
              <w:rPr>
                <w:b/>
                <w:bCs/>
              </w:rPr>
            </w:pPr>
            <w:r>
              <w:rPr>
                <w:b/>
                <w:bCs/>
              </w:rPr>
              <w:t>25</w:t>
            </w:r>
            <w:r w:rsidR="00035DA0" w:rsidRPr="00776866">
              <w:rPr>
                <w:b/>
                <w:bCs/>
              </w:rPr>
              <w:t xml:space="preserve"> points</w:t>
            </w:r>
          </w:p>
        </w:tc>
      </w:tr>
      <w:tr w:rsidR="00325532" w14:paraId="603B0D01" w14:textId="77777777" w:rsidTr="00B74AA1">
        <w:trPr>
          <w:trHeight w:val="737"/>
        </w:trPr>
        <w:tc>
          <w:tcPr>
            <w:tcW w:w="6658" w:type="dxa"/>
            <w:vAlign w:val="center"/>
          </w:tcPr>
          <w:p w14:paraId="67EED2C5" w14:textId="254EB8A6" w:rsidR="00325532" w:rsidRPr="00776866" w:rsidRDefault="00511F78" w:rsidP="00B74AA1">
            <w:pPr>
              <w:jc w:val="left"/>
            </w:pPr>
            <w:r w:rsidRPr="00776866">
              <w:t>Pérennité, durabilité du projet</w:t>
            </w:r>
            <w:r w:rsidR="00CA4D63">
              <w:t xml:space="preserve"> et partenariat</w:t>
            </w:r>
          </w:p>
        </w:tc>
        <w:tc>
          <w:tcPr>
            <w:tcW w:w="2404" w:type="dxa"/>
            <w:vAlign w:val="center"/>
          </w:tcPr>
          <w:p w14:paraId="5018BDED" w14:textId="71092F55" w:rsidR="00325532" w:rsidRPr="00776866" w:rsidRDefault="00511F78" w:rsidP="00B74AA1">
            <w:pPr>
              <w:jc w:val="center"/>
              <w:rPr>
                <w:b/>
                <w:bCs/>
              </w:rPr>
            </w:pPr>
            <w:r w:rsidRPr="00776866">
              <w:rPr>
                <w:b/>
                <w:bCs/>
              </w:rPr>
              <w:t>5 points</w:t>
            </w:r>
          </w:p>
        </w:tc>
      </w:tr>
      <w:tr w:rsidR="00035DA0" w14:paraId="199C2FD9" w14:textId="77777777" w:rsidTr="00B74AA1">
        <w:tc>
          <w:tcPr>
            <w:tcW w:w="6658" w:type="dxa"/>
            <w:shd w:val="clear" w:color="auto" w:fill="E7E6E6" w:themeFill="background2"/>
            <w:vAlign w:val="center"/>
          </w:tcPr>
          <w:p w14:paraId="14D65B0C" w14:textId="77777777" w:rsidR="00035DA0" w:rsidRPr="00B74AA1" w:rsidRDefault="00035DA0" w:rsidP="00B74AA1">
            <w:pPr>
              <w:jc w:val="left"/>
              <w:rPr>
                <w:i/>
                <w:iCs/>
              </w:rPr>
            </w:pPr>
            <w:r w:rsidRPr="00B74AA1">
              <w:rPr>
                <w:i/>
                <w:iCs/>
              </w:rPr>
              <w:t>TOTAL</w:t>
            </w:r>
          </w:p>
        </w:tc>
        <w:tc>
          <w:tcPr>
            <w:tcW w:w="2404" w:type="dxa"/>
            <w:shd w:val="clear" w:color="auto" w:fill="E7E6E6" w:themeFill="background2"/>
            <w:vAlign w:val="center"/>
          </w:tcPr>
          <w:p w14:paraId="7E6F9460" w14:textId="77777777" w:rsidR="00035DA0" w:rsidRPr="00EE2F23" w:rsidRDefault="00035DA0" w:rsidP="00B74AA1">
            <w:pPr>
              <w:jc w:val="center"/>
              <w:rPr>
                <w:b/>
                <w:bCs/>
              </w:rPr>
            </w:pPr>
            <w:r w:rsidRPr="00EE2F23">
              <w:rPr>
                <w:b/>
                <w:bCs/>
              </w:rPr>
              <w:t>100 points</w:t>
            </w:r>
          </w:p>
        </w:tc>
      </w:tr>
    </w:tbl>
    <w:p w14:paraId="7C1E46B6" w14:textId="2EB0DB2A" w:rsidR="00035DA0" w:rsidRPr="00BD5084" w:rsidRDefault="00035DA0" w:rsidP="003C0C12">
      <w:pPr>
        <w:pStyle w:val="Titre1"/>
        <w:jc w:val="left"/>
        <w:rPr>
          <w:lang w:val="fr-FR"/>
        </w:rPr>
      </w:pPr>
      <w:bookmarkStart w:id="16" w:name="_Toc94006610"/>
      <w:bookmarkStart w:id="17" w:name="_Toc96519902"/>
      <w:r w:rsidRPr="00BD5084">
        <w:rPr>
          <w:lang w:val="fr-FR"/>
        </w:rPr>
        <w:t>Octroi des subventions e</w:t>
      </w:r>
      <w:r w:rsidR="003C0C12" w:rsidRPr="00BD5084">
        <w:rPr>
          <w:lang w:val="fr-FR"/>
        </w:rPr>
        <w:t xml:space="preserve">T </w:t>
      </w:r>
      <w:r w:rsidRPr="00BD5084">
        <w:rPr>
          <w:lang w:val="fr-FR"/>
        </w:rPr>
        <w:t>justificatifs</w:t>
      </w:r>
      <w:bookmarkEnd w:id="16"/>
      <w:bookmarkEnd w:id="17"/>
    </w:p>
    <w:p w14:paraId="79F36692" w14:textId="7747345A" w:rsidR="00035DA0" w:rsidRDefault="00035DA0" w:rsidP="00035DA0">
      <w:pPr>
        <w:pStyle w:val="Titre2"/>
        <w:numPr>
          <w:ilvl w:val="0"/>
          <w:numId w:val="18"/>
        </w:numPr>
      </w:pPr>
      <w:bookmarkStart w:id="18" w:name="_Toc94006611"/>
      <w:bookmarkStart w:id="19" w:name="_Toc96519903"/>
      <w:r>
        <w:t>Octroi des subventions</w:t>
      </w:r>
      <w:bookmarkEnd w:id="18"/>
      <w:bookmarkEnd w:id="19"/>
    </w:p>
    <w:p w14:paraId="09B2EB46" w14:textId="77777777" w:rsidR="00035DA0" w:rsidRPr="0031363D" w:rsidRDefault="00035DA0" w:rsidP="00B74AA1">
      <w:pPr>
        <w:rPr>
          <w:rFonts w:cstheme="minorHAnsi"/>
          <w:color w:val="000000"/>
          <w:lang w:val="fr-FR"/>
        </w:rPr>
      </w:pPr>
      <w:r w:rsidRPr="0031363D">
        <w:rPr>
          <w:rFonts w:cstheme="minorHAnsi"/>
          <w:color w:val="000000"/>
          <w:lang w:val="fr-FR"/>
        </w:rPr>
        <w:t xml:space="preserve">Les subventions accordées sont des aides attribuées au titre de l’Appel à projets Nouvelle-Aquitaine Euskadi Navarre. Elles sont réparties entre les partenaires, conformément au plan de financement global de l’opération, retenu par le Bureau du GECT et faisant l’objet de la convention d’attribution de l’aide. </w:t>
      </w:r>
    </w:p>
    <w:p w14:paraId="2FF89633" w14:textId="77777777" w:rsidR="00035DA0" w:rsidRPr="0031363D" w:rsidRDefault="00035DA0" w:rsidP="00B74AA1">
      <w:pPr>
        <w:rPr>
          <w:rFonts w:cstheme="minorHAnsi"/>
          <w:color w:val="000000"/>
          <w:lang w:val="fr-FR"/>
        </w:rPr>
      </w:pPr>
      <w:r w:rsidRPr="0031363D">
        <w:rPr>
          <w:lang w:val="fr-FR"/>
        </w:rPr>
        <w:t>Le Bureau de l’Eurorégion se réserve la possibilité d’ajuster les montants de la subvention afin qu’ils coïncident avec l’enveloppe financière allouée à l’appel à projets, tout en assurant leur viabilité et leur exécution, dans la limite de 15% de réduction du montant demandé.</w:t>
      </w:r>
    </w:p>
    <w:p w14:paraId="6EA6FE16" w14:textId="77777777" w:rsidR="00035DA0" w:rsidRPr="0031363D" w:rsidRDefault="00035DA0" w:rsidP="00B74AA1">
      <w:pPr>
        <w:rPr>
          <w:rFonts w:cstheme="minorHAnsi"/>
          <w:color w:val="000000"/>
          <w:lang w:val="fr-FR"/>
        </w:rPr>
      </w:pPr>
      <w:r w:rsidRPr="0031363D">
        <w:rPr>
          <w:rFonts w:cstheme="minorHAnsi"/>
          <w:color w:val="000000"/>
          <w:lang w:val="fr-FR"/>
        </w:rPr>
        <w:lastRenderedPageBreak/>
        <w:t>Les paiements des subventions seront effectués au chef de file (tel que défini dans l’Acte d’Engagement) de la manière suivante :</w:t>
      </w:r>
    </w:p>
    <w:p w14:paraId="176E90D9" w14:textId="77777777" w:rsidR="00035DA0" w:rsidRPr="003F2061" w:rsidRDefault="00035DA0" w:rsidP="00B74AA1">
      <w:pPr>
        <w:pStyle w:val="Paragraphedeliste"/>
        <w:numPr>
          <w:ilvl w:val="0"/>
          <w:numId w:val="11"/>
        </w:numPr>
        <w:jc w:val="both"/>
        <w:rPr>
          <w:rFonts w:ascii="Roboto" w:hAnsi="Roboto" w:cstheme="minorHAnsi"/>
        </w:rPr>
      </w:pPr>
      <w:r w:rsidRPr="003F2061">
        <w:rPr>
          <w:rFonts w:ascii="Roboto" w:hAnsi="Roboto" w:cstheme="minorHAnsi"/>
          <w:color w:val="000000"/>
        </w:rPr>
        <w:t>40% de la subvention à la signature de la convention entre le GECT et le projet</w:t>
      </w:r>
    </w:p>
    <w:p w14:paraId="07B79C3E" w14:textId="77777777" w:rsidR="00035DA0" w:rsidRPr="003F2061" w:rsidRDefault="00035DA0" w:rsidP="00B74AA1">
      <w:pPr>
        <w:pStyle w:val="Paragraphedeliste"/>
        <w:numPr>
          <w:ilvl w:val="0"/>
          <w:numId w:val="11"/>
        </w:numPr>
        <w:jc w:val="both"/>
        <w:rPr>
          <w:rFonts w:ascii="Roboto" w:hAnsi="Roboto" w:cstheme="minorHAnsi"/>
        </w:rPr>
      </w:pPr>
      <w:r w:rsidRPr="003F2061">
        <w:rPr>
          <w:rFonts w:ascii="Roboto" w:hAnsi="Roboto" w:cstheme="minorHAnsi"/>
          <w:color w:val="000000"/>
        </w:rPr>
        <w:t xml:space="preserve">60% de la subvention à la clôture du projet. </w:t>
      </w:r>
    </w:p>
    <w:p w14:paraId="29F1ADF9" w14:textId="77777777" w:rsidR="00035DA0" w:rsidRPr="003F2061" w:rsidRDefault="00035DA0" w:rsidP="00B74AA1">
      <w:pPr>
        <w:pStyle w:val="Paragraphedeliste"/>
        <w:numPr>
          <w:ilvl w:val="0"/>
          <w:numId w:val="11"/>
        </w:numPr>
        <w:jc w:val="both"/>
        <w:rPr>
          <w:rFonts w:ascii="Roboto" w:hAnsi="Roboto" w:cstheme="minorHAnsi"/>
        </w:rPr>
      </w:pPr>
      <w:r w:rsidRPr="003F2061">
        <w:rPr>
          <w:rFonts w:ascii="Roboto" w:hAnsi="Roboto"/>
        </w:rPr>
        <w:t>Si le projet subventionné n'est pas entièrement réalisé, le paiement de la subvention accordée est réduit au prorata du montant effectivement réalisé et justifié.</w:t>
      </w:r>
    </w:p>
    <w:p w14:paraId="59A8F314" w14:textId="51C43E1D" w:rsidR="00035DA0" w:rsidRDefault="00035DA0" w:rsidP="00B74AA1">
      <w:pPr>
        <w:rPr>
          <w:rFonts w:cstheme="minorHAnsi"/>
          <w:lang w:val="fr"/>
        </w:rPr>
      </w:pPr>
      <w:r w:rsidRPr="003F2061">
        <w:rPr>
          <w:rFonts w:cstheme="minorHAnsi"/>
          <w:lang w:val="fr"/>
        </w:rPr>
        <w:t xml:space="preserve">Le chef de file s’engage à procéder au reversement des parts revenant à ses éventuels partenaires conformément à la répartition établie lors de la présentation du dossier. </w:t>
      </w:r>
    </w:p>
    <w:p w14:paraId="3952AF41" w14:textId="12302EBB" w:rsidR="00035DA0" w:rsidRDefault="00035DA0" w:rsidP="00035DA0">
      <w:pPr>
        <w:pStyle w:val="Titre2"/>
      </w:pPr>
      <w:bookmarkStart w:id="20" w:name="_Toc94006612"/>
      <w:bookmarkStart w:id="21" w:name="_Toc96519904"/>
      <w:r>
        <w:t>Justification technique et financière</w:t>
      </w:r>
      <w:bookmarkEnd w:id="20"/>
      <w:bookmarkEnd w:id="21"/>
    </w:p>
    <w:p w14:paraId="341A310C" w14:textId="77777777" w:rsidR="00035DA0" w:rsidRPr="0031363D" w:rsidRDefault="00035DA0" w:rsidP="00B74AA1">
      <w:pPr>
        <w:rPr>
          <w:lang w:val="fr-FR"/>
        </w:rPr>
      </w:pPr>
      <w:r w:rsidRPr="0031363D">
        <w:rPr>
          <w:lang w:val="fr-FR"/>
        </w:rPr>
        <w:t>Les bénéficiaires des subventions accordées devront fournir l'ensemble des pièces justificatives énumérées dans la convention, à savoir :</w:t>
      </w:r>
    </w:p>
    <w:p w14:paraId="6BD86A6E" w14:textId="77777777" w:rsidR="00035DA0" w:rsidRPr="003F2061" w:rsidRDefault="00035DA0" w:rsidP="00B74AA1">
      <w:pPr>
        <w:pStyle w:val="Paragraphedeliste"/>
        <w:numPr>
          <w:ilvl w:val="0"/>
          <w:numId w:val="11"/>
        </w:numPr>
        <w:jc w:val="both"/>
        <w:rPr>
          <w:rFonts w:ascii="Roboto" w:hAnsi="Roboto"/>
        </w:rPr>
      </w:pPr>
      <w:r w:rsidRPr="00B74AA1">
        <w:rPr>
          <w:rFonts w:ascii="Roboto" w:hAnsi="Roboto"/>
          <w:b/>
          <w:bCs/>
        </w:rPr>
        <w:t>Rapport technique</w:t>
      </w:r>
      <w:r w:rsidRPr="003F2061">
        <w:rPr>
          <w:rFonts w:ascii="Roboto" w:hAnsi="Roboto"/>
        </w:rPr>
        <w:t xml:space="preserve"> selon le modèle fourni par le GECT, à la clôture du projet.</w:t>
      </w:r>
    </w:p>
    <w:p w14:paraId="6877EC54" w14:textId="77777777" w:rsidR="00035DA0" w:rsidRPr="003F2061" w:rsidRDefault="00035DA0" w:rsidP="00B74AA1">
      <w:pPr>
        <w:pStyle w:val="Paragraphedeliste"/>
        <w:numPr>
          <w:ilvl w:val="0"/>
          <w:numId w:val="11"/>
        </w:numPr>
        <w:jc w:val="both"/>
        <w:rPr>
          <w:rFonts w:ascii="Roboto" w:hAnsi="Roboto"/>
        </w:rPr>
      </w:pPr>
      <w:r w:rsidRPr="00B74AA1">
        <w:rPr>
          <w:rFonts w:ascii="Roboto" w:hAnsi="Roboto"/>
          <w:b/>
          <w:bCs/>
        </w:rPr>
        <w:t>Rapport financier</w:t>
      </w:r>
      <w:r w:rsidRPr="003F2061">
        <w:rPr>
          <w:rFonts w:ascii="Roboto" w:hAnsi="Roboto"/>
        </w:rPr>
        <w:t xml:space="preserve"> selon le modèle fourni par le GECT, à la clôture du projet.</w:t>
      </w:r>
    </w:p>
    <w:p w14:paraId="5BB241C8" w14:textId="77777777" w:rsidR="00035DA0" w:rsidRPr="003F2061" w:rsidRDefault="00035DA0" w:rsidP="00B74AA1">
      <w:pPr>
        <w:pStyle w:val="Paragraphedeliste"/>
        <w:numPr>
          <w:ilvl w:val="0"/>
          <w:numId w:val="11"/>
        </w:numPr>
        <w:jc w:val="both"/>
        <w:rPr>
          <w:rFonts w:ascii="Roboto" w:hAnsi="Roboto"/>
        </w:rPr>
      </w:pPr>
      <w:r w:rsidRPr="00B74AA1">
        <w:rPr>
          <w:rFonts w:ascii="Roboto" w:hAnsi="Roboto"/>
          <w:b/>
          <w:bCs/>
        </w:rPr>
        <w:t>Formulaire de capitalisation</w:t>
      </w:r>
      <w:r w:rsidRPr="003F2061">
        <w:rPr>
          <w:rFonts w:ascii="Roboto" w:hAnsi="Roboto"/>
        </w:rPr>
        <w:t xml:space="preserve"> fourni par le GECT à la clôture de projet.</w:t>
      </w:r>
    </w:p>
    <w:p w14:paraId="60928BBE" w14:textId="77777777" w:rsidR="00035DA0" w:rsidRPr="0031363D" w:rsidRDefault="00035DA0" w:rsidP="00B74AA1">
      <w:pPr>
        <w:rPr>
          <w:lang w:val="fr-FR"/>
        </w:rPr>
      </w:pPr>
      <w:r w:rsidRPr="0031363D">
        <w:rPr>
          <w:lang w:val="fr-FR"/>
        </w:rPr>
        <w:t>Tous les documents devront être transmis de manière dématérialisée sur la plateforme fournie par le GECT.</w:t>
      </w:r>
    </w:p>
    <w:p w14:paraId="5591CB5E" w14:textId="3A4228C5" w:rsidR="00035DA0" w:rsidRPr="0031363D" w:rsidRDefault="00035DA0" w:rsidP="00B74AA1">
      <w:pPr>
        <w:rPr>
          <w:lang w:val="fr-FR"/>
        </w:rPr>
      </w:pPr>
      <w:r w:rsidRPr="0031363D">
        <w:rPr>
          <w:lang w:val="fr-FR"/>
        </w:rPr>
        <w:t>Les bénéficiaires s’engagent aussi à faire état de l’avancement du projet de manière trimestrielle.</w:t>
      </w:r>
    </w:p>
    <w:p w14:paraId="7DD9B648" w14:textId="70554EF6" w:rsidR="00035DA0" w:rsidRDefault="00035DA0" w:rsidP="00035DA0">
      <w:pPr>
        <w:pStyle w:val="Titre1"/>
      </w:pPr>
      <w:bookmarkStart w:id="22" w:name="_Toc94006613"/>
      <w:bookmarkStart w:id="23" w:name="_Toc96519905"/>
      <w:r>
        <w:t>Communication</w:t>
      </w:r>
      <w:bookmarkEnd w:id="22"/>
      <w:bookmarkEnd w:id="23"/>
    </w:p>
    <w:p w14:paraId="2432DA93" w14:textId="71CFD4B1" w:rsidR="00035DA0" w:rsidRPr="0031363D" w:rsidRDefault="00035DA0" w:rsidP="00035DA0">
      <w:pPr>
        <w:rPr>
          <w:rFonts w:eastAsia="Calibri" w:cstheme="minorHAnsi"/>
          <w:lang w:val="fr-FR"/>
        </w:rPr>
      </w:pPr>
      <w:r w:rsidRPr="0031363D">
        <w:rPr>
          <w:rFonts w:eastAsia="Calibri" w:cstheme="minorHAnsi"/>
          <w:lang w:val="fr-FR"/>
        </w:rPr>
        <w:t xml:space="preserve">L’obligation de publicité et de communication des éventuels partenaires participant au projet doit être respectée. A cet égard, le bénéficiaire de la subvention et ses partenaires doivent </w:t>
      </w:r>
      <w:r w:rsidRPr="0031363D">
        <w:rPr>
          <w:rFonts w:eastAsia="Calibri" w:cstheme="minorHAnsi"/>
          <w:b/>
          <w:lang w:val="fr-FR"/>
        </w:rPr>
        <w:t xml:space="preserve">obligatoirement </w:t>
      </w:r>
      <w:r w:rsidRPr="0031363D">
        <w:rPr>
          <w:rFonts w:eastAsia="Calibri" w:cstheme="minorHAnsi"/>
          <w:lang w:val="fr-FR"/>
        </w:rPr>
        <w:t xml:space="preserve">faire figurer les logos du GECT Eurorégion Nouvelle-Aquitaine Euskadi Navarre ainsi que la mention de cofinancement sur tout document ayant un lien direct avec le projet (carton d’invitation, lettre, affiche, page web, dépliant, plaquette…). </w:t>
      </w:r>
    </w:p>
    <w:p w14:paraId="4DF7FAF7" w14:textId="77777777" w:rsidR="00035DA0" w:rsidRPr="0031363D" w:rsidRDefault="00035DA0" w:rsidP="00035DA0">
      <w:pPr>
        <w:rPr>
          <w:rFonts w:eastAsia="Calibri" w:cstheme="minorHAnsi"/>
          <w:lang w:val="fr-FR"/>
        </w:rPr>
      </w:pPr>
      <w:r w:rsidRPr="0031363D">
        <w:rPr>
          <w:rFonts w:eastAsia="Calibri" w:cstheme="minorHAnsi"/>
          <w:b/>
          <w:lang w:val="fr-FR"/>
        </w:rPr>
        <w:t xml:space="preserve">Cette obligation s’applique à tous les documents d’information et de communication sur le projet, </w:t>
      </w:r>
      <w:r w:rsidRPr="0031363D">
        <w:rPr>
          <w:rFonts w:eastAsia="Calibri" w:cstheme="minorHAnsi"/>
          <w:b/>
          <w:u w:val="single"/>
          <w:lang w:val="fr-FR"/>
        </w:rPr>
        <w:t>à tout événement organisé afin de le promouvoir auprès du public, lors de son lancement ou au cours de son exécution</w:t>
      </w:r>
      <w:r w:rsidRPr="0031363D">
        <w:rPr>
          <w:rFonts w:eastAsia="Calibri" w:cstheme="minorHAnsi"/>
          <w:lang w:val="fr-FR"/>
        </w:rPr>
        <w:t xml:space="preserve"> : conférence de presse, séminaire, spectacle, représentation, conférence… S’il y a lieu, le logo du GECT Eurorégion Nouvelle Aquitaine Euskadi Navarre doit être présent sur le site du chef de file et de ses partenaires.  </w:t>
      </w:r>
    </w:p>
    <w:p w14:paraId="3D63AD19" w14:textId="77777777" w:rsidR="00035DA0" w:rsidRPr="0031363D" w:rsidRDefault="00035DA0" w:rsidP="00035DA0">
      <w:pPr>
        <w:rPr>
          <w:rFonts w:eastAsia="Calibri" w:cstheme="minorHAnsi"/>
          <w:lang w:val="fr-FR"/>
        </w:rPr>
      </w:pPr>
      <w:r w:rsidRPr="0031363D">
        <w:rPr>
          <w:rFonts w:eastAsia="Calibri" w:cstheme="minorHAnsi"/>
          <w:lang w:val="fr-FR"/>
        </w:rPr>
        <w:t>Le GECT Eurorégion Nouvelle-Aquitaine Euskadi Navarre devra être associée à tout événement organisé dans le cadre du projet. Chaque événement doit lui être notifié par une invitation écrite dans un délai raisonnable.</w:t>
      </w:r>
    </w:p>
    <w:p w14:paraId="42928A1D" w14:textId="1E2DD449" w:rsidR="00035DA0" w:rsidRPr="0031363D" w:rsidRDefault="00035DA0" w:rsidP="00035DA0">
      <w:pPr>
        <w:rPr>
          <w:lang w:val="fr-FR"/>
        </w:rPr>
      </w:pPr>
      <w:r w:rsidRPr="0031363D">
        <w:rPr>
          <w:rFonts w:eastAsia="Calibri" w:cstheme="minorHAnsi"/>
          <w:lang w:val="fr-FR"/>
        </w:rPr>
        <w:t xml:space="preserve">A l’issue du projet, le chef de file et ses éventuels partenaires pourront être sollicités pour participer à des évènements et/ou démarches de capitalisation de l’Appel à projets. </w:t>
      </w:r>
    </w:p>
    <w:p w14:paraId="6ADE9FB7" w14:textId="098A313C" w:rsidR="00035DA0" w:rsidRPr="00035DA0" w:rsidRDefault="00035DA0" w:rsidP="00035DA0">
      <w:pPr>
        <w:pStyle w:val="Titre1"/>
      </w:pPr>
      <w:bookmarkStart w:id="24" w:name="_Toc94006615"/>
      <w:bookmarkStart w:id="25" w:name="_Toc96519906"/>
      <w:r>
        <w:lastRenderedPageBreak/>
        <w:t>Informations et contact</w:t>
      </w:r>
      <w:bookmarkEnd w:id="24"/>
      <w:bookmarkEnd w:id="25"/>
    </w:p>
    <w:p w14:paraId="79A21741" w14:textId="77777777" w:rsidR="00035DA0" w:rsidRPr="0031363D" w:rsidRDefault="00035DA0" w:rsidP="00035DA0">
      <w:pPr>
        <w:rPr>
          <w:rFonts w:cstheme="minorHAnsi"/>
          <w:color w:val="242424"/>
          <w:shd w:val="clear" w:color="auto" w:fill="FFFFFF"/>
          <w:lang w:val="fr-FR"/>
        </w:rPr>
      </w:pPr>
      <w:r w:rsidRPr="000C1139">
        <w:rPr>
          <w:rFonts w:cstheme="minorHAnsi"/>
          <w:shd w:val="clear" w:color="auto" w:fill="FFFFFF"/>
          <w:lang w:val="fr-FR"/>
        </w:rPr>
        <w:t>Il est possible de consulter les documents officiels de l’Appel à projets ainsi que les autres</w:t>
      </w:r>
      <w:r w:rsidRPr="000C1139">
        <w:rPr>
          <w:rFonts w:cstheme="minorHAnsi"/>
          <w:lang w:val="fr-FR"/>
        </w:rPr>
        <w:br/>
      </w:r>
      <w:r w:rsidRPr="000C1139">
        <w:rPr>
          <w:rFonts w:cstheme="minorHAnsi"/>
          <w:shd w:val="clear" w:color="auto" w:fill="FFFFFF"/>
          <w:lang w:val="fr-FR"/>
        </w:rPr>
        <w:t xml:space="preserve">éléments importants pour la préparation d'une candidature sur le site web de l’Eurorégion </w:t>
      </w:r>
      <w:hyperlink r:id="rId16" w:history="1">
        <w:r w:rsidRPr="0031363D">
          <w:rPr>
            <w:rStyle w:val="Lienhypertexte"/>
            <w:rFonts w:cstheme="minorHAnsi"/>
            <w:shd w:val="clear" w:color="auto" w:fill="FFFFFF"/>
            <w:lang w:val="fr-FR"/>
          </w:rPr>
          <w:t>www.euroregion-naen.eu</w:t>
        </w:r>
      </w:hyperlink>
      <w:r w:rsidRPr="0031363D">
        <w:rPr>
          <w:rFonts w:cstheme="minorHAnsi"/>
          <w:color w:val="242424"/>
          <w:shd w:val="clear" w:color="auto" w:fill="FFFFFF"/>
          <w:lang w:val="fr-FR"/>
        </w:rPr>
        <w:t> :</w:t>
      </w:r>
    </w:p>
    <w:p w14:paraId="5A63087B" w14:textId="77777777" w:rsidR="00035DA0" w:rsidRPr="000C1139" w:rsidRDefault="00035DA0" w:rsidP="00035DA0">
      <w:pPr>
        <w:pStyle w:val="Paragraphedeliste"/>
        <w:numPr>
          <w:ilvl w:val="0"/>
          <w:numId w:val="14"/>
        </w:numPr>
        <w:jc w:val="both"/>
        <w:rPr>
          <w:rFonts w:ascii="Roboto" w:hAnsi="Roboto" w:cstheme="minorHAnsi"/>
          <w:shd w:val="clear" w:color="auto" w:fill="FFFFFF"/>
        </w:rPr>
      </w:pPr>
      <w:r w:rsidRPr="000C1139">
        <w:rPr>
          <w:rFonts w:ascii="Roboto" w:hAnsi="Roboto" w:cstheme="minorHAnsi"/>
          <w:shd w:val="clear" w:color="auto" w:fill="FFFFFF"/>
        </w:rPr>
        <w:t>Plan Stratégique de l’Eurorégion</w:t>
      </w:r>
    </w:p>
    <w:p w14:paraId="244937DE" w14:textId="77777777" w:rsidR="00035DA0" w:rsidRPr="000C1139" w:rsidRDefault="00035DA0" w:rsidP="00035DA0">
      <w:pPr>
        <w:pStyle w:val="Paragraphedeliste"/>
        <w:numPr>
          <w:ilvl w:val="0"/>
          <w:numId w:val="14"/>
        </w:numPr>
        <w:jc w:val="both"/>
        <w:rPr>
          <w:rFonts w:ascii="Roboto" w:hAnsi="Roboto" w:cstheme="minorHAnsi"/>
          <w:shd w:val="clear" w:color="auto" w:fill="FFFFFF"/>
        </w:rPr>
      </w:pPr>
      <w:r w:rsidRPr="000C1139">
        <w:rPr>
          <w:rFonts w:ascii="Roboto" w:hAnsi="Roboto" w:cstheme="minorHAnsi"/>
          <w:shd w:val="clear" w:color="auto" w:fill="FFFFFF"/>
        </w:rPr>
        <w:t>Guide du porteur de projets</w:t>
      </w:r>
    </w:p>
    <w:p w14:paraId="27F109AE" w14:textId="77777777" w:rsidR="00035DA0" w:rsidRPr="000C1139" w:rsidRDefault="00035DA0" w:rsidP="00035DA0">
      <w:pPr>
        <w:pStyle w:val="Paragraphedeliste"/>
        <w:numPr>
          <w:ilvl w:val="0"/>
          <w:numId w:val="14"/>
        </w:numPr>
        <w:jc w:val="both"/>
        <w:rPr>
          <w:rFonts w:ascii="Roboto" w:hAnsi="Roboto" w:cstheme="minorHAnsi"/>
          <w:shd w:val="clear" w:color="auto" w:fill="FFFFFF"/>
        </w:rPr>
      </w:pPr>
      <w:r w:rsidRPr="000C1139">
        <w:rPr>
          <w:rFonts w:ascii="Roboto" w:hAnsi="Roboto" w:cstheme="minorHAnsi"/>
          <w:shd w:val="clear" w:color="auto" w:fill="FFFFFF"/>
        </w:rPr>
        <w:t>Formulaires, documents, guides et modèles nécessaires pour remplir la candidature.</w:t>
      </w:r>
    </w:p>
    <w:p w14:paraId="650D1D5E" w14:textId="77777777" w:rsidR="00035DA0" w:rsidRPr="000C1139" w:rsidRDefault="00035DA0" w:rsidP="00035DA0">
      <w:pPr>
        <w:rPr>
          <w:rFonts w:cstheme="minorHAnsi"/>
          <w:shd w:val="clear" w:color="auto" w:fill="FFFFFF"/>
          <w:lang w:val="fr-FR"/>
        </w:rPr>
      </w:pPr>
      <w:r w:rsidRPr="000C1139">
        <w:rPr>
          <w:rFonts w:cstheme="minorHAnsi"/>
          <w:shd w:val="clear" w:color="auto" w:fill="FFFFFF"/>
          <w:lang w:val="fr-FR"/>
        </w:rPr>
        <w:t>L'Eurorégion ne peut pas garantir la validité des documents téléchargés à partir d'autres sites</w:t>
      </w:r>
      <w:r w:rsidRPr="000C1139">
        <w:rPr>
          <w:rFonts w:cstheme="minorHAnsi"/>
          <w:lang w:val="fr-FR"/>
        </w:rPr>
        <w:br/>
      </w:r>
      <w:r w:rsidRPr="000C1139">
        <w:rPr>
          <w:rFonts w:cstheme="minorHAnsi"/>
          <w:shd w:val="clear" w:color="auto" w:fill="FFFFFF"/>
          <w:lang w:val="fr-FR"/>
        </w:rPr>
        <w:t>web.</w:t>
      </w:r>
    </w:p>
    <w:p w14:paraId="432C9217" w14:textId="37478B43" w:rsidR="00035DA0" w:rsidRPr="0040041B" w:rsidRDefault="00035DA0" w:rsidP="00035DA0">
      <w:pPr>
        <w:rPr>
          <w:rFonts w:cstheme="minorHAnsi"/>
          <w:b/>
          <w:bCs/>
          <w:color w:val="242424"/>
          <w:shd w:val="clear" w:color="auto" w:fill="FFFFFF"/>
          <w:lang w:val="fr-FR"/>
        </w:rPr>
      </w:pPr>
      <w:r w:rsidRPr="0031363D">
        <w:rPr>
          <w:rFonts w:cstheme="minorHAnsi"/>
          <w:color w:val="242424"/>
          <w:lang w:val="fr-FR"/>
        </w:rPr>
        <w:br/>
      </w:r>
      <w:r w:rsidRPr="0040041B">
        <w:rPr>
          <w:rFonts w:cstheme="minorHAnsi"/>
          <w:b/>
          <w:bCs/>
          <w:color w:val="242424"/>
          <w:shd w:val="clear" w:color="auto" w:fill="FFFFFF"/>
          <w:lang w:val="fr-FR"/>
        </w:rPr>
        <w:t>Vous pouvez contacter la personne en charge de l’Appel à projets à l’adresse suivant</w:t>
      </w:r>
      <w:r w:rsidR="0040041B">
        <w:rPr>
          <w:rFonts w:cstheme="minorHAnsi"/>
          <w:b/>
          <w:bCs/>
          <w:color w:val="242424"/>
          <w:shd w:val="clear" w:color="auto" w:fill="FFFFFF"/>
          <w:lang w:val="fr-FR"/>
        </w:rPr>
        <w:t>e</w:t>
      </w:r>
      <w:r w:rsidRPr="0040041B">
        <w:rPr>
          <w:rFonts w:cstheme="minorHAnsi"/>
          <w:b/>
          <w:bCs/>
          <w:color w:val="242424"/>
          <w:shd w:val="clear" w:color="auto" w:fill="FFFFFF"/>
          <w:lang w:val="fr-FR"/>
        </w:rPr>
        <w:t xml:space="preserve"> : </w:t>
      </w:r>
      <w:r w:rsidR="00CA4D63">
        <w:rPr>
          <w:rFonts w:cstheme="minorHAnsi"/>
          <w:b/>
          <w:bCs/>
          <w:color w:val="242424"/>
          <w:shd w:val="clear" w:color="auto" w:fill="FFFFFF"/>
          <w:lang w:val="fr-FR"/>
        </w:rPr>
        <w:t>leyre.azcona@euroregion-naen.eu</w:t>
      </w:r>
    </w:p>
    <w:p w14:paraId="10FE4DD6" w14:textId="77777777" w:rsidR="00035DA0" w:rsidRPr="00035DA0" w:rsidRDefault="00035DA0" w:rsidP="00035DA0">
      <w:pPr>
        <w:rPr>
          <w:lang w:val="fr-FR"/>
        </w:rPr>
      </w:pPr>
    </w:p>
    <w:sectPr w:rsidR="00035DA0" w:rsidRPr="00035DA0" w:rsidSect="000022D0">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E5EA7" w14:textId="77777777" w:rsidR="00714181" w:rsidRDefault="00714181" w:rsidP="000977E9">
      <w:pPr>
        <w:spacing w:after="0" w:line="240" w:lineRule="auto"/>
      </w:pPr>
      <w:r>
        <w:separator/>
      </w:r>
    </w:p>
  </w:endnote>
  <w:endnote w:type="continuationSeparator" w:id="0">
    <w:p w14:paraId="0B67B41B" w14:textId="77777777" w:rsidR="00714181" w:rsidRDefault="00714181" w:rsidP="000977E9">
      <w:pPr>
        <w:spacing w:after="0" w:line="240" w:lineRule="auto"/>
      </w:pPr>
      <w:r>
        <w:continuationSeparator/>
      </w:r>
    </w:p>
  </w:endnote>
  <w:endnote w:type="continuationNotice" w:id="1">
    <w:p w14:paraId="3E950525" w14:textId="77777777" w:rsidR="00714181" w:rsidRDefault="007141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8567D" w14:textId="77777777" w:rsidR="00D10D4C" w:rsidRDefault="00D10D4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51B7" w14:textId="54A2B890" w:rsidR="006673B7" w:rsidRDefault="00D10D4C">
    <w:pPr>
      <w:pStyle w:val="Pieddepage"/>
    </w:pPr>
    <w:r>
      <w:rPr>
        <w:noProof/>
        <w:lang w:val="fr-FR" w:eastAsia="fr-FR"/>
      </w:rPr>
      <w:drawing>
        <wp:anchor distT="0" distB="0" distL="114300" distR="114300" simplePos="0" relativeHeight="251658241" behindDoc="0" locked="0" layoutInCell="1" allowOverlap="1" wp14:anchorId="018F4E2C" wp14:editId="71B6AA00">
          <wp:simplePos x="0" y="0"/>
          <wp:positionH relativeFrom="column">
            <wp:posOffset>0</wp:posOffset>
          </wp:positionH>
          <wp:positionV relativeFrom="paragraph">
            <wp:posOffset>167640</wp:posOffset>
          </wp:positionV>
          <wp:extent cx="5759450" cy="604520"/>
          <wp:effectExtent l="0" t="0" r="0" b="508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5759450" cy="60452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FD2D6" w14:textId="77777777" w:rsidR="00D10D4C" w:rsidRDefault="00D10D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65C61C" w14:textId="77777777" w:rsidR="00714181" w:rsidRDefault="00714181" w:rsidP="000977E9">
      <w:pPr>
        <w:spacing w:after="0" w:line="240" w:lineRule="auto"/>
      </w:pPr>
      <w:r>
        <w:separator/>
      </w:r>
    </w:p>
  </w:footnote>
  <w:footnote w:type="continuationSeparator" w:id="0">
    <w:p w14:paraId="40688171" w14:textId="77777777" w:rsidR="00714181" w:rsidRDefault="00714181" w:rsidP="000977E9">
      <w:pPr>
        <w:spacing w:after="0" w:line="240" w:lineRule="auto"/>
      </w:pPr>
      <w:r>
        <w:continuationSeparator/>
      </w:r>
    </w:p>
  </w:footnote>
  <w:footnote w:type="continuationNotice" w:id="1">
    <w:p w14:paraId="55BF12BF" w14:textId="77777777" w:rsidR="00714181" w:rsidRDefault="007141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180A" w14:textId="77777777" w:rsidR="00D10D4C" w:rsidRDefault="00D10D4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6536" w14:textId="6FAAF827" w:rsidR="006673B7" w:rsidRDefault="006673B7">
    <w:pPr>
      <w:pStyle w:val="En-tte"/>
    </w:pPr>
    <w:r>
      <w:rPr>
        <w:noProof/>
        <w:lang w:val="fr-FR" w:eastAsia="fr-FR"/>
      </w:rPr>
      <w:drawing>
        <wp:anchor distT="0" distB="0" distL="114300" distR="114300" simplePos="0" relativeHeight="251658240" behindDoc="0" locked="0" layoutInCell="1" allowOverlap="1" wp14:anchorId="0CFED912" wp14:editId="50DBE741">
          <wp:simplePos x="0" y="0"/>
          <wp:positionH relativeFrom="margin">
            <wp:posOffset>-605790</wp:posOffset>
          </wp:positionH>
          <wp:positionV relativeFrom="paragraph">
            <wp:posOffset>-219075</wp:posOffset>
          </wp:positionV>
          <wp:extent cx="6527800" cy="909955"/>
          <wp:effectExtent l="0" t="0" r="6350" b="444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527800" cy="90995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928B2" w14:textId="77777777" w:rsidR="00D10D4C" w:rsidRDefault="00D10D4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61B3D"/>
    <w:multiLevelType w:val="hybridMultilevel"/>
    <w:tmpl w:val="6FDCB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006E9"/>
    <w:multiLevelType w:val="hybridMultilevel"/>
    <w:tmpl w:val="B13CD852"/>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8A6C24"/>
    <w:multiLevelType w:val="multilevel"/>
    <w:tmpl w:val="E3945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B360CEC"/>
    <w:multiLevelType w:val="hybridMultilevel"/>
    <w:tmpl w:val="C49AE002"/>
    <w:lvl w:ilvl="0" w:tplc="040C000D">
      <w:start w:val="1"/>
      <w:numFmt w:val="bullet"/>
      <w:lvlText w:val=""/>
      <w:lvlJc w:val="left"/>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5957C9"/>
    <w:multiLevelType w:val="hybridMultilevel"/>
    <w:tmpl w:val="F8C098D8"/>
    <w:lvl w:ilvl="0" w:tplc="040C000D">
      <w:start w:val="1"/>
      <w:numFmt w:val="bullet"/>
      <w:lvlText w:val=""/>
      <w:lvlJc w:val="left"/>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4871658"/>
    <w:multiLevelType w:val="hybridMultilevel"/>
    <w:tmpl w:val="22AA57A2"/>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D30A91"/>
    <w:multiLevelType w:val="hybridMultilevel"/>
    <w:tmpl w:val="79F2C0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94206C9"/>
    <w:multiLevelType w:val="hybridMultilevel"/>
    <w:tmpl w:val="09AA3146"/>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881F16"/>
    <w:multiLevelType w:val="hybridMultilevel"/>
    <w:tmpl w:val="A0CE8F7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09800A5"/>
    <w:multiLevelType w:val="hybridMultilevel"/>
    <w:tmpl w:val="B75E2108"/>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A95B56"/>
    <w:multiLevelType w:val="hybridMultilevel"/>
    <w:tmpl w:val="C5C465EC"/>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0800FE0"/>
    <w:multiLevelType w:val="hybridMultilevel"/>
    <w:tmpl w:val="6D3045DC"/>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1C8275A"/>
    <w:multiLevelType w:val="hybridMultilevel"/>
    <w:tmpl w:val="B582B64C"/>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294C85"/>
    <w:multiLevelType w:val="hybridMultilevel"/>
    <w:tmpl w:val="83DE4B7C"/>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9B389E"/>
    <w:multiLevelType w:val="hybridMultilevel"/>
    <w:tmpl w:val="6C5EEA9C"/>
    <w:lvl w:ilvl="0" w:tplc="059A4BA8">
      <w:start w:val="1"/>
      <w:numFmt w:val="bullet"/>
      <w:lvlText w:val=""/>
      <w:lvlJc w:val="left"/>
      <w:pPr>
        <w:ind w:left="720" w:hanging="360"/>
      </w:pPr>
      <w:rPr>
        <w:rFonts w:ascii="Symbol" w:hAnsi="Symbol" w:hint="default"/>
        <w:color w:val="479F8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25367BC"/>
    <w:multiLevelType w:val="hybridMultilevel"/>
    <w:tmpl w:val="C360D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4D2CD7"/>
    <w:multiLevelType w:val="hybridMultilevel"/>
    <w:tmpl w:val="40A8E8F0"/>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num w:numId="1" w16cid:durableId="1703162766">
    <w:abstractNumId w:val="10"/>
  </w:num>
  <w:num w:numId="2" w16cid:durableId="1142389278">
    <w:abstractNumId w:val="16"/>
  </w:num>
  <w:num w:numId="3" w16cid:durableId="531917177">
    <w:abstractNumId w:val="15"/>
  </w:num>
  <w:num w:numId="4" w16cid:durableId="1010990160">
    <w:abstractNumId w:val="14"/>
  </w:num>
  <w:num w:numId="5" w16cid:durableId="760757700">
    <w:abstractNumId w:val="9"/>
  </w:num>
  <w:num w:numId="6" w16cid:durableId="462433315">
    <w:abstractNumId w:val="1"/>
  </w:num>
  <w:num w:numId="7" w16cid:durableId="437608197">
    <w:abstractNumId w:val="2"/>
  </w:num>
  <w:num w:numId="8" w16cid:durableId="1675835564">
    <w:abstractNumId w:val="5"/>
  </w:num>
  <w:num w:numId="9" w16cid:durableId="1089614555">
    <w:abstractNumId w:val="8"/>
  </w:num>
  <w:num w:numId="10" w16cid:durableId="117067740">
    <w:abstractNumId w:val="7"/>
  </w:num>
  <w:num w:numId="11" w16cid:durableId="311182396">
    <w:abstractNumId w:val="11"/>
  </w:num>
  <w:num w:numId="12" w16cid:durableId="1008630001">
    <w:abstractNumId w:val="4"/>
  </w:num>
  <w:num w:numId="13" w16cid:durableId="183977591">
    <w:abstractNumId w:val="6"/>
  </w:num>
  <w:num w:numId="14" w16cid:durableId="1227841903">
    <w:abstractNumId w:val="12"/>
  </w:num>
  <w:num w:numId="15" w16cid:durableId="1759059784">
    <w:abstractNumId w:val="3"/>
  </w:num>
  <w:num w:numId="16" w16cid:durableId="1554347876">
    <w:abstractNumId w:val="16"/>
    <w:lvlOverride w:ilvl="0">
      <w:startOverride w:val="1"/>
    </w:lvlOverride>
  </w:num>
  <w:num w:numId="17" w16cid:durableId="2006743551">
    <w:abstractNumId w:val="16"/>
    <w:lvlOverride w:ilvl="0">
      <w:startOverride w:val="1"/>
    </w:lvlOverride>
  </w:num>
  <w:num w:numId="18" w16cid:durableId="216163755">
    <w:abstractNumId w:val="16"/>
    <w:lvlOverride w:ilvl="0">
      <w:startOverride w:val="1"/>
    </w:lvlOverride>
  </w:num>
  <w:num w:numId="19" w16cid:durableId="1938059279">
    <w:abstractNumId w:val="0"/>
  </w:num>
  <w:num w:numId="20" w16cid:durableId="15051216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1EE"/>
    <w:rsid w:val="000022D0"/>
    <w:rsid w:val="000051EE"/>
    <w:rsid w:val="00035DA0"/>
    <w:rsid w:val="000977E9"/>
    <w:rsid w:val="000C1139"/>
    <w:rsid w:val="00155B74"/>
    <w:rsid w:val="00184885"/>
    <w:rsid w:val="001A7A4B"/>
    <w:rsid w:val="001F07C6"/>
    <w:rsid w:val="001F6EC6"/>
    <w:rsid w:val="002069F1"/>
    <w:rsid w:val="00207279"/>
    <w:rsid w:val="00256DFA"/>
    <w:rsid w:val="002D0A9F"/>
    <w:rsid w:val="002D5C65"/>
    <w:rsid w:val="002E7786"/>
    <w:rsid w:val="0031363D"/>
    <w:rsid w:val="00325532"/>
    <w:rsid w:val="00337D1D"/>
    <w:rsid w:val="00350BF1"/>
    <w:rsid w:val="00384CE7"/>
    <w:rsid w:val="00385755"/>
    <w:rsid w:val="003C0C12"/>
    <w:rsid w:val="003C4579"/>
    <w:rsid w:val="003F2061"/>
    <w:rsid w:val="0040041B"/>
    <w:rsid w:val="0040297E"/>
    <w:rsid w:val="004238D8"/>
    <w:rsid w:val="004415AE"/>
    <w:rsid w:val="004467AD"/>
    <w:rsid w:val="004578A0"/>
    <w:rsid w:val="00475E42"/>
    <w:rsid w:val="00501D3F"/>
    <w:rsid w:val="00511F78"/>
    <w:rsid w:val="0054577E"/>
    <w:rsid w:val="005A0490"/>
    <w:rsid w:val="005A441B"/>
    <w:rsid w:val="005C67C3"/>
    <w:rsid w:val="00621694"/>
    <w:rsid w:val="00654F36"/>
    <w:rsid w:val="006561BD"/>
    <w:rsid w:val="006673B7"/>
    <w:rsid w:val="00674F6C"/>
    <w:rsid w:val="00687E8C"/>
    <w:rsid w:val="00696396"/>
    <w:rsid w:val="00696429"/>
    <w:rsid w:val="006B69EF"/>
    <w:rsid w:val="006E11D7"/>
    <w:rsid w:val="006E5643"/>
    <w:rsid w:val="006E6DFF"/>
    <w:rsid w:val="006F7D75"/>
    <w:rsid w:val="00702F53"/>
    <w:rsid w:val="00710B26"/>
    <w:rsid w:val="00714181"/>
    <w:rsid w:val="007444CF"/>
    <w:rsid w:val="00772E70"/>
    <w:rsid w:val="00776866"/>
    <w:rsid w:val="00792E0D"/>
    <w:rsid w:val="00795AB0"/>
    <w:rsid w:val="007A1472"/>
    <w:rsid w:val="007A3BE1"/>
    <w:rsid w:val="007A47E0"/>
    <w:rsid w:val="00890110"/>
    <w:rsid w:val="008C06E0"/>
    <w:rsid w:val="00950BD4"/>
    <w:rsid w:val="009742E2"/>
    <w:rsid w:val="009928B8"/>
    <w:rsid w:val="009A205A"/>
    <w:rsid w:val="009A4CD6"/>
    <w:rsid w:val="009B410E"/>
    <w:rsid w:val="009B67B8"/>
    <w:rsid w:val="009E25D6"/>
    <w:rsid w:val="009E5510"/>
    <w:rsid w:val="00A00682"/>
    <w:rsid w:val="00A2211B"/>
    <w:rsid w:val="00A52FF9"/>
    <w:rsid w:val="00AA04D9"/>
    <w:rsid w:val="00AA13BB"/>
    <w:rsid w:val="00AB6621"/>
    <w:rsid w:val="00AC60A2"/>
    <w:rsid w:val="00AF0992"/>
    <w:rsid w:val="00B075AF"/>
    <w:rsid w:val="00B36DFB"/>
    <w:rsid w:val="00B71E7F"/>
    <w:rsid w:val="00B74AA1"/>
    <w:rsid w:val="00B77262"/>
    <w:rsid w:val="00B83AB9"/>
    <w:rsid w:val="00BC6640"/>
    <w:rsid w:val="00BD5084"/>
    <w:rsid w:val="00C07397"/>
    <w:rsid w:val="00C32548"/>
    <w:rsid w:val="00C77A07"/>
    <w:rsid w:val="00CA4D63"/>
    <w:rsid w:val="00CB0298"/>
    <w:rsid w:val="00CF17E9"/>
    <w:rsid w:val="00D10D4C"/>
    <w:rsid w:val="00D34797"/>
    <w:rsid w:val="00D34CE0"/>
    <w:rsid w:val="00D642D0"/>
    <w:rsid w:val="00D851FE"/>
    <w:rsid w:val="00DC6572"/>
    <w:rsid w:val="00E775E7"/>
    <w:rsid w:val="00EE2F23"/>
    <w:rsid w:val="00F50292"/>
    <w:rsid w:val="00F81209"/>
    <w:rsid w:val="00FA4234"/>
    <w:rsid w:val="00FB266B"/>
    <w:rsid w:val="00FB34B2"/>
    <w:rsid w:val="00FC03E9"/>
    <w:rsid w:val="00FC1F5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57797"/>
  <w15:chartTrackingRefBased/>
  <w15:docId w15:val="{DF2C1593-3D0C-47E0-A210-B50D983A2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1EE"/>
    <w:pPr>
      <w:jc w:val="both"/>
    </w:pPr>
    <w:rPr>
      <w:rFonts w:ascii="Roboto" w:hAnsi="Roboto"/>
    </w:rPr>
  </w:style>
  <w:style w:type="paragraph" w:styleId="Titre1">
    <w:name w:val="heading 1"/>
    <w:basedOn w:val="Normal"/>
    <w:next w:val="Normal"/>
    <w:link w:val="Titre1Car"/>
    <w:uiPriority w:val="9"/>
    <w:qFormat/>
    <w:rsid w:val="00035DA0"/>
    <w:pPr>
      <w:keepNext/>
      <w:keepLines/>
      <w:numPr>
        <w:numId w:val="1"/>
      </w:numPr>
      <w:spacing w:before="600" w:after="240"/>
      <w:ind w:left="714" w:hanging="357"/>
      <w:outlineLvl w:val="0"/>
    </w:pPr>
    <w:rPr>
      <w:rFonts w:eastAsiaTheme="majorEastAsia" w:cstheme="majorBidi"/>
      <w:b/>
      <w:caps/>
      <w:color w:val="479F84"/>
      <w:sz w:val="40"/>
      <w:szCs w:val="32"/>
    </w:rPr>
  </w:style>
  <w:style w:type="paragraph" w:styleId="Titre2">
    <w:name w:val="heading 2"/>
    <w:basedOn w:val="Normal"/>
    <w:next w:val="Normal"/>
    <w:link w:val="Titre2Car"/>
    <w:uiPriority w:val="9"/>
    <w:unhideWhenUsed/>
    <w:qFormat/>
    <w:rsid w:val="006673B7"/>
    <w:pPr>
      <w:keepNext/>
      <w:keepLines/>
      <w:numPr>
        <w:numId w:val="2"/>
      </w:numPr>
      <w:spacing w:before="120" w:after="240"/>
      <w:ind w:left="1775" w:hanging="357"/>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0051EE"/>
    <w:pPr>
      <w:keepNext/>
      <w:keepLines/>
      <w:spacing w:before="40" w:after="0"/>
      <w:outlineLvl w:val="2"/>
    </w:pPr>
    <w:rPr>
      <w:rFonts w:asciiTheme="majorHAnsi" w:eastAsiaTheme="majorEastAsia" w:hAnsiTheme="majorHAnsi" w:cstheme="majorBidi"/>
      <w:color w:val="1A343A"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673B7"/>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6673B7"/>
    <w:rPr>
      <w:rFonts w:ascii="Roboto" w:eastAsiaTheme="majorEastAsia" w:hAnsi="Roboto" w:cstheme="majorBidi"/>
      <w:b/>
      <w:caps/>
      <w:spacing w:val="-10"/>
      <w:kern w:val="28"/>
      <w:sz w:val="56"/>
      <w:szCs w:val="56"/>
    </w:rPr>
  </w:style>
  <w:style w:type="character" w:customStyle="1" w:styleId="Titre2Car">
    <w:name w:val="Titre 2 Car"/>
    <w:basedOn w:val="Policepardfaut"/>
    <w:link w:val="Titre2"/>
    <w:uiPriority w:val="9"/>
    <w:rsid w:val="006673B7"/>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1Car">
    <w:name w:val="Titre 1 Car"/>
    <w:basedOn w:val="Policepardfaut"/>
    <w:link w:val="Titre1"/>
    <w:uiPriority w:val="9"/>
    <w:rsid w:val="00035DA0"/>
    <w:rPr>
      <w:rFonts w:ascii="Roboto" w:eastAsiaTheme="majorEastAsia" w:hAnsi="Roboto" w:cstheme="majorBidi"/>
      <w:b/>
      <w:caps/>
      <w:color w:val="479F84"/>
      <w:sz w:val="40"/>
      <w:szCs w:val="32"/>
    </w:rPr>
  </w:style>
  <w:style w:type="paragraph" w:customStyle="1" w:styleId="Euroeskualdea">
    <w:name w:val="Euroeskualdea"/>
    <w:basedOn w:val="Titre1"/>
    <w:link w:val="EuroeskualdeaCar"/>
    <w:rsid w:val="000051EE"/>
  </w:style>
  <w:style w:type="character" w:customStyle="1" w:styleId="Titre3Car">
    <w:name w:val="Titre 3 Car"/>
    <w:basedOn w:val="Policepardfaut"/>
    <w:link w:val="Titre3"/>
    <w:uiPriority w:val="9"/>
    <w:semiHidden/>
    <w:rsid w:val="000051EE"/>
    <w:rPr>
      <w:rFonts w:asciiTheme="majorHAnsi" w:eastAsiaTheme="majorEastAsia" w:hAnsiTheme="majorHAnsi" w:cstheme="majorBidi"/>
      <w:color w:val="1A343A" w:themeColor="accent1" w:themeShade="7F"/>
      <w:sz w:val="24"/>
      <w:szCs w:val="24"/>
    </w:rPr>
  </w:style>
  <w:style w:type="character" w:customStyle="1" w:styleId="EuroeskualdeaCar">
    <w:name w:val="Euroeskualdea Car"/>
    <w:basedOn w:val="Titre1Car"/>
    <w:link w:val="Euroeskualdea"/>
    <w:rsid w:val="000051EE"/>
    <w:rPr>
      <w:rFonts w:ascii="Roboto" w:eastAsiaTheme="majorEastAsia" w:hAnsi="Roboto" w:cstheme="majorBidi"/>
      <w:b/>
      <w:caps/>
      <w:color w:val="479F84"/>
      <w:sz w:val="40"/>
      <w:szCs w:val="32"/>
    </w:rPr>
  </w:style>
  <w:style w:type="paragraph" w:styleId="En-tte">
    <w:name w:val="header"/>
    <w:basedOn w:val="Normal"/>
    <w:link w:val="En-tteCar"/>
    <w:uiPriority w:val="99"/>
    <w:unhideWhenUsed/>
    <w:rsid w:val="000977E9"/>
    <w:pPr>
      <w:tabs>
        <w:tab w:val="center" w:pos="4536"/>
        <w:tab w:val="right" w:pos="9072"/>
      </w:tabs>
      <w:spacing w:after="0" w:line="240" w:lineRule="auto"/>
    </w:pPr>
  </w:style>
  <w:style w:type="character" w:customStyle="1" w:styleId="En-tteCar">
    <w:name w:val="En-tête Car"/>
    <w:basedOn w:val="Policepardfaut"/>
    <w:link w:val="En-tte"/>
    <w:uiPriority w:val="99"/>
    <w:rsid w:val="000977E9"/>
    <w:rPr>
      <w:rFonts w:ascii="Roboto" w:hAnsi="Roboto"/>
    </w:rPr>
  </w:style>
  <w:style w:type="paragraph" w:styleId="Pieddepage">
    <w:name w:val="footer"/>
    <w:basedOn w:val="Normal"/>
    <w:link w:val="PieddepageCar"/>
    <w:uiPriority w:val="99"/>
    <w:unhideWhenUsed/>
    <w:rsid w:val="000977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77E9"/>
    <w:rPr>
      <w:rFonts w:ascii="Roboto" w:hAnsi="Roboto"/>
    </w:rPr>
  </w:style>
  <w:style w:type="paragraph" w:styleId="Sous-titre">
    <w:name w:val="Subtitle"/>
    <w:basedOn w:val="Normal"/>
    <w:next w:val="Normal"/>
    <w:link w:val="Sous-titreCar"/>
    <w:uiPriority w:val="11"/>
    <w:qFormat/>
    <w:rsid w:val="006673B7"/>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6673B7"/>
    <w:rPr>
      <w:rFonts w:ascii="Roboto" w:eastAsiaTheme="minorEastAsia" w:hAnsi="Roboto"/>
      <w:b/>
      <w:bCs/>
      <w:i/>
      <w:iCs/>
      <w:caps/>
      <w:color w:val="7F7F7F" w:themeColor="text1" w:themeTint="80"/>
      <w:spacing w:val="15"/>
      <w:sz w:val="36"/>
      <w:szCs w:val="36"/>
    </w:rPr>
  </w:style>
  <w:style w:type="paragraph" w:customStyle="1" w:styleId="Default">
    <w:name w:val="Default"/>
    <w:rsid w:val="006673B7"/>
    <w:pPr>
      <w:autoSpaceDE w:val="0"/>
      <w:autoSpaceDN w:val="0"/>
      <w:adjustRightInd w:val="0"/>
      <w:spacing w:after="0" w:line="240" w:lineRule="auto"/>
    </w:pPr>
    <w:rPr>
      <w:rFonts w:ascii="Arial" w:hAnsi="Arial" w:cs="Arial"/>
      <w:color w:val="000000"/>
      <w:sz w:val="24"/>
      <w:szCs w:val="24"/>
      <w:lang w:val="fr-FR"/>
    </w:rPr>
  </w:style>
  <w:style w:type="paragraph" w:styleId="NormalWeb">
    <w:name w:val="Normal (Web)"/>
    <w:basedOn w:val="Normal"/>
    <w:uiPriority w:val="99"/>
    <w:semiHidden/>
    <w:unhideWhenUsed/>
    <w:rsid w:val="006673B7"/>
    <w:pPr>
      <w:spacing w:before="100" w:beforeAutospacing="1" w:after="100" w:afterAutospacing="1" w:line="240" w:lineRule="auto"/>
      <w:jc w:val="left"/>
    </w:pPr>
    <w:rPr>
      <w:rFonts w:ascii="Times New Roman" w:eastAsia="Times New Roman" w:hAnsi="Times New Roman" w:cs="Times New Roman"/>
      <w:sz w:val="24"/>
      <w:szCs w:val="24"/>
      <w:lang w:val="fr-FR" w:eastAsia="fr-FR"/>
    </w:rPr>
  </w:style>
  <w:style w:type="character" w:customStyle="1" w:styleId="markedcontent">
    <w:name w:val="markedcontent"/>
    <w:basedOn w:val="Policepardfaut"/>
    <w:rsid w:val="00FC1F55"/>
  </w:style>
  <w:style w:type="character" w:styleId="Lienhypertexte">
    <w:name w:val="Hyperlink"/>
    <w:basedOn w:val="Policepardfaut"/>
    <w:uiPriority w:val="99"/>
    <w:unhideWhenUsed/>
    <w:rsid w:val="009B67B8"/>
    <w:rPr>
      <w:color w:val="56AD95" w:themeColor="hyperlink"/>
      <w:u w:val="single"/>
    </w:rPr>
  </w:style>
  <w:style w:type="paragraph" w:styleId="Paragraphedeliste">
    <w:name w:val="List Paragraph"/>
    <w:basedOn w:val="Normal"/>
    <w:uiPriority w:val="34"/>
    <w:qFormat/>
    <w:rsid w:val="006B69EF"/>
    <w:pPr>
      <w:ind w:left="720"/>
      <w:contextualSpacing/>
      <w:jc w:val="left"/>
    </w:pPr>
    <w:rPr>
      <w:rFonts w:asciiTheme="minorHAnsi" w:hAnsiTheme="minorHAnsi"/>
      <w:lang w:val="fr-FR"/>
    </w:rPr>
  </w:style>
  <w:style w:type="paragraph" w:styleId="En-ttedetabledesmatires">
    <w:name w:val="TOC Heading"/>
    <w:basedOn w:val="Titre1"/>
    <w:next w:val="Normal"/>
    <w:uiPriority w:val="39"/>
    <w:unhideWhenUsed/>
    <w:qFormat/>
    <w:rsid w:val="00256DFA"/>
    <w:pPr>
      <w:numPr>
        <w:numId w:val="0"/>
      </w:numPr>
      <w:spacing w:before="240" w:after="0"/>
      <w:jc w:val="left"/>
      <w:outlineLvl w:val="9"/>
    </w:pPr>
    <w:rPr>
      <w:rFonts w:asciiTheme="majorHAnsi" w:hAnsiTheme="majorHAnsi"/>
      <w:b w:val="0"/>
      <w:caps w:val="0"/>
      <w:color w:val="284F58" w:themeColor="accent1" w:themeShade="BF"/>
      <w:sz w:val="32"/>
      <w:lang w:eastAsia="es-ES"/>
    </w:rPr>
  </w:style>
  <w:style w:type="paragraph" w:styleId="TM1">
    <w:name w:val="toc 1"/>
    <w:basedOn w:val="Normal"/>
    <w:next w:val="Normal"/>
    <w:autoRedefine/>
    <w:uiPriority w:val="39"/>
    <w:unhideWhenUsed/>
    <w:rsid w:val="00256DFA"/>
    <w:pPr>
      <w:spacing w:after="100"/>
    </w:pPr>
  </w:style>
  <w:style w:type="table" w:styleId="Grilledutableau">
    <w:name w:val="Table Grid"/>
    <w:basedOn w:val="TableauNormal"/>
    <w:uiPriority w:val="39"/>
    <w:rsid w:val="00035DA0"/>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3F2061"/>
    <w:pPr>
      <w:spacing w:after="100"/>
      <w:ind w:left="220"/>
    </w:pPr>
  </w:style>
  <w:style w:type="paragraph" w:styleId="Citation">
    <w:name w:val="Quote"/>
    <w:basedOn w:val="Normal"/>
    <w:next w:val="Normal"/>
    <w:link w:val="CitationCar"/>
    <w:uiPriority w:val="29"/>
    <w:qFormat/>
    <w:rsid w:val="006E6DFF"/>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6E6DFF"/>
    <w:rPr>
      <w:rFonts w:ascii="Roboto" w:hAnsi="Roboto"/>
      <w:shd w:val="clear" w:color="auto" w:fill="E7E6E6" w:themeFill="background2"/>
    </w:rPr>
  </w:style>
  <w:style w:type="character" w:customStyle="1" w:styleId="Mentionnonrsolue1">
    <w:name w:val="Mention non résolue1"/>
    <w:basedOn w:val="Policepardfaut"/>
    <w:uiPriority w:val="99"/>
    <w:semiHidden/>
    <w:unhideWhenUsed/>
    <w:rsid w:val="002E7786"/>
    <w:rPr>
      <w:color w:val="605E5C"/>
      <w:shd w:val="clear" w:color="auto" w:fill="E1DFDD"/>
    </w:rPr>
  </w:style>
  <w:style w:type="character" w:styleId="Marquedecommentaire">
    <w:name w:val="annotation reference"/>
    <w:basedOn w:val="Policepardfaut"/>
    <w:uiPriority w:val="99"/>
    <w:semiHidden/>
    <w:unhideWhenUsed/>
    <w:rsid w:val="00B71E7F"/>
    <w:rPr>
      <w:sz w:val="16"/>
      <w:szCs w:val="16"/>
    </w:rPr>
  </w:style>
  <w:style w:type="paragraph" w:styleId="Commentaire">
    <w:name w:val="annotation text"/>
    <w:basedOn w:val="Normal"/>
    <w:link w:val="CommentaireCar"/>
    <w:uiPriority w:val="99"/>
    <w:semiHidden/>
    <w:unhideWhenUsed/>
    <w:rsid w:val="00B71E7F"/>
    <w:pPr>
      <w:spacing w:line="240" w:lineRule="auto"/>
    </w:pPr>
    <w:rPr>
      <w:sz w:val="20"/>
      <w:szCs w:val="20"/>
    </w:rPr>
  </w:style>
  <w:style w:type="character" w:customStyle="1" w:styleId="CommentaireCar">
    <w:name w:val="Commentaire Car"/>
    <w:basedOn w:val="Policepardfaut"/>
    <w:link w:val="Commentaire"/>
    <w:uiPriority w:val="99"/>
    <w:semiHidden/>
    <w:rsid w:val="00B71E7F"/>
    <w:rPr>
      <w:rFonts w:ascii="Roboto" w:hAnsi="Roboto"/>
      <w:sz w:val="20"/>
      <w:szCs w:val="20"/>
    </w:rPr>
  </w:style>
  <w:style w:type="paragraph" w:styleId="Objetducommentaire">
    <w:name w:val="annotation subject"/>
    <w:basedOn w:val="Commentaire"/>
    <w:next w:val="Commentaire"/>
    <w:link w:val="ObjetducommentaireCar"/>
    <w:uiPriority w:val="99"/>
    <w:semiHidden/>
    <w:unhideWhenUsed/>
    <w:rsid w:val="00B71E7F"/>
    <w:rPr>
      <w:b/>
      <w:bCs/>
    </w:rPr>
  </w:style>
  <w:style w:type="character" w:customStyle="1" w:styleId="ObjetducommentaireCar">
    <w:name w:val="Objet du commentaire Car"/>
    <w:basedOn w:val="CommentaireCar"/>
    <w:link w:val="Objetducommentaire"/>
    <w:uiPriority w:val="99"/>
    <w:semiHidden/>
    <w:rsid w:val="00B71E7F"/>
    <w:rPr>
      <w:rFonts w:ascii="Roboto" w:hAnsi="Roboto"/>
      <w:b/>
      <w:bCs/>
      <w:sz w:val="20"/>
      <w:szCs w:val="20"/>
    </w:rPr>
  </w:style>
  <w:style w:type="paragraph" w:styleId="Textedebulles">
    <w:name w:val="Balloon Text"/>
    <w:basedOn w:val="Normal"/>
    <w:link w:val="TextedebullesCar"/>
    <w:uiPriority w:val="99"/>
    <w:semiHidden/>
    <w:unhideWhenUsed/>
    <w:rsid w:val="00B71E7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1E7F"/>
    <w:rPr>
      <w:rFonts w:ascii="Segoe UI" w:hAnsi="Segoe UI" w:cs="Segoe UI"/>
      <w:sz w:val="18"/>
      <w:szCs w:val="18"/>
    </w:rPr>
  </w:style>
  <w:style w:type="character" w:styleId="Lienhypertextesuivivisit">
    <w:name w:val="FollowedHyperlink"/>
    <w:basedOn w:val="Policepardfaut"/>
    <w:uiPriority w:val="99"/>
    <w:semiHidden/>
    <w:unhideWhenUsed/>
    <w:rsid w:val="007A47E0"/>
    <w:rPr>
      <w:color w:val="954F72" w:themeColor="followedHyperlink"/>
      <w:u w:val="single"/>
    </w:rPr>
  </w:style>
  <w:style w:type="paragraph" w:styleId="Rvision">
    <w:name w:val="Revision"/>
    <w:hidden/>
    <w:uiPriority w:val="99"/>
    <w:semiHidden/>
    <w:rsid w:val="009B410E"/>
    <w:pPr>
      <w:spacing w:after="0" w:line="240" w:lineRule="auto"/>
    </w:pPr>
    <w:rPr>
      <w:rFonts w:ascii="Roboto" w:hAnsi="Robo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euroregion-naen.eu/wp-content/uploads/2019/12/PS_FRA_site_.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uroregion-naen.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uroregion-naen.e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region-naen.eu"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pieChart>
        <c:varyColors val="1"/>
        <c:ser>
          <c:idx val="0"/>
          <c:order val="0"/>
          <c:tx>
            <c:strRef>
              <c:f>Feuil1!$B$1</c:f>
              <c:strCache>
                <c:ptCount val="1"/>
                <c:pt idx="0">
                  <c:v>Budget</c:v>
                </c:pt>
              </c:strCache>
            </c:strRef>
          </c:tx>
          <c:explosion val="2"/>
          <c:dPt>
            <c:idx val="0"/>
            <c:bubble3D val="0"/>
            <c:spPr>
              <a:solidFill>
                <a:schemeClr val="accent1">
                  <a:shade val="65000"/>
                </a:schemeClr>
              </a:solidFill>
              <a:ln w="19050">
                <a:solidFill>
                  <a:schemeClr val="lt1"/>
                </a:solidFill>
              </a:ln>
              <a:effectLst/>
            </c:spPr>
            <c:extLst>
              <c:ext xmlns:c16="http://schemas.microsoft.com/office/drawing/2014/chart" uri="{C3380CC4-5D6E-409C-BE32-E72D297353CC}">
                <c16:uniqueId val="{00000001-DD32-4C93-8B6A-9750DF590A8A}"/>
              </c:ext>
            </c:extLst>
          </c:dPt>
          <c:dPt>
            <c:idx val="1"/>
            <c:bubble3D val="0"/>
            <c:spPr>
              <a:solidFill>
                <a:schemeClr val="accent1"/>
              </a:solidFill>
              <a:ln w="19050">
                <a:solidFill>
                  <a:schemeClr val="lt1"/>
                </a:solidFill>
              </a:ln>
              <a:effectLst/>
            </c:spPr>
            <c:extLst>
              <c:ext xmlns:c16="http://schemas.microsoft.com/office/drawing/2014/chart" uri="{C3380CC4-5D6E-409C-BE32-E72D297353CC}">
                <c16:uniqueId val="{00000003-DD32-4C93-8B6A-9750DF590A8A}"/>
              </c:ext>
            </c:extLst>
          </c:dPt>
          <c:dPt>
            <c:idx val="2"/>
            <c:bubble3D val="0"/>
            <c:spPr>
              <a:solidFill>
                <a:schemeClr val="accent1">
                  <a:tint val="65000"/>
                </a:schemeClr>
              </a:solidFill>
              <a:ln w="19050">
                <a:solidFill>
                  <a:schemeClr val="lt1"/>
                </a:solidFill>
              </a:ln>
              <a:effectLst/>
            </c:spPr>
            <c:extLst>
              <c:ext xmlns:c16="http://schemas.microsoft.com/office/drawing/2014/chart" uri="{C3380CC4-5D6E-409C-BE32-E72D297353CC}">
                <c16:uniqueId val="{00000005-DD32-4C93-8B6A-9750DF590A8A}"/>
              </c:ext>
            </c:extLst>
          </c:dPt>
          <c:dLbls>
            <c:dLbl>
              <c:idx val="0"/>
              <c:layout>
                <c:manualLayout>
                  <c:x val="-0.17817533246757516"/>
                  <c:y val="3.5790980672870437E-3"/>
                </c:manualLayout>
              </c:layout>
              <c:tx>
                <c:rich>
                  <a:bodyPr/>
                  <a:lstStyle/>
                  <a:p>
                    <a:fld id="{20CED83C-6C0C-4578-9507-5BB95D477792}" type="CATEGORYNAME">
                      <a:rPr lang="en-US">
                        <a:solidFill>
                          <a:schemeClr val="bg1"/>
                        </a:solidFill>
                      </a:rPr>
                      <a:pPr/>
                      <a:t>[NOM DE CATÉGORIE]</a:t>
                    </a:fld>
                    <a:r>
                      <a:rPr lang="en-US" baseline="0"/>
                      <a:t>
</a:t>
                    </a:r>
                    <a:fld id="{20FACEDC-FFAA-43DF-8966-D138E28CA3E4}" type="PERCENTAGE">
                      <a:rPr lang="en-US" b="1" baseline="0">
                        <a:solidFill>
                          <a:schemeClr val="bg1"/>
                        </a:solidFill>
                      </a:rPr>
                      <a:pPr/>
                      <a:t>[POURCENTAGE]</a:t>
                    </a:fld>
                    <a:endParaRPr lang="en-US" baseline="0"/>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D32-4C93-8B6A-9750DF590A8A}"/>
                </c:ext>
              </c:extLst>
            </c:dLbl>
            <c:dLbl>
              <c:idx val="1"/>
              <c:layout>
                <c:manualLayout>
                  <c:x val="0.13001709598408753"/>
                  <c:y val="-0.17185081642890565"/>
                </c:manualLayout>
              </c:layout>
              <c:tx>
                <c:rich>
                  <a:bodyPr/>
                  <a:lstStyle/>
                  <a:p>
                    <a:r>
                      <a:rPr lang="en-US">
                        <a:solidFill>
                          <a:schemeClr val="bg1"/>
                        </a:solidFill>
                      </a:rPr>
                      <a:t>Autofinancement</a:t>
                    </a:r>
                    <a:r>
                      <a:rPr lang="en-US" baseline="0">
                        <a:solidFill>
                          <a:schemeClr val="bg1"/>
                        </a:solidFill>
                      </a:rPr>
                      <a:t>
</a:t>
                    </a:r>
                    <a:fld id="{34CB4D97-D300-4D3E-9B50-3D82809215C2}" type="PERCENTAGE">
                      <a:rPr lang="en-US" b="1" baseline="0">
                        <a:solidFill>
                          <a:schemeClr val="bg1"/>
                        </a:solidFill>
                      </a:rPr>
                      <a:pPr/>
                      <a:t>[POURCENTAGE]</a:t>
                    </a:fld>
                    <a:endParaRPr lang="en-US" baseline="0">
                      <a:solidFill>
                        <a:schemeClr val="bg1"/>
                      </a:solidFill>
                    </a:endParaRPr>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D32-4C93-8B6A-9750DF590A8A}"/>
                </c:ext>
              </c:extLst>
            </c:dLbl>
            <c:dLbl>
              <c:idx val="2"/>
              <c:layout>
                <c:manualLayout>
                  <c:x val="0.13604622491082136"/>
                  <c:y val="0.14348745061126483"/>
                </c:manualLayout>
              </c:layout>
              <c:tx>
                <c:rich>
                  <a:bodyPr/>
                  <a:lstStyle/>
                  <a:p>
                    <a:r>
                      <a:rPr lang="en-US" sz="1050" baseline="0"/>
                      <a:t>Autre
</a:t>
                    </a:r>
                    <a:fld id="{C0000825-B898-49D6-8D18-94D0297C0BF9}" type="PERCENTAGE">
                      <a:rPr lang="en-US" sz="1050" b="1" baseline="0"/>
                      <a:pPr/>
                      <a:t>[POURCENTAGE]</a:t>
                    </a:fld>
                    <a:endParaRPr lang="en-US" sz="1050" baseline="0"/>
                  </a:p>
                </c:rich>
              </c:tx>
              <c:dLblPos val="bestFit"/>
              <c:showLegendKey val="0"/>
              <c:showVal val="0"/>
              <c:showCatName val="1"/>
              <c:showSerName val="0"/>
              <c:showPercent val="1"/>
              <c:showBubbleSize val="0"/>
              <c:extLst>
                <c:ext xmlns:c15="http://schemas.microsoft.com/office/drawing/2012/chart" uri="{CE6537A1-D6FC-4f65-9D91-7224C49458BB}">
                  <c15:layout>
                    <c:manualLayout>
                      <c:w val="8.7046011211020333E-2"/>
                      <c:h val="0.13815318539727986"/>
                    </c:manualLayout>
                  </c15:layout>
                  <c15:dlblFieldTable/>
                  <c15:showDataLabelsRange val="0"/>
                </c:ext>
                <c:ext xmlns:c16="http://schemas.microsoft.com/office/drawing/2014/chart" uri="{C3380CC4-5D6E-409C-BE32-E72D297353CC}">
                  <c16:uniqueId val="{00000005-DD32-4C93-8B6A-9750DF590A8A}"/>
                </c:ext>
              </c:extLst>
            </c:dLbl>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Roboto" pitchFamily="2" charset="0"/>
                    <a:ea typeface="Roboto" pitchFamily="2" charset="0"/>
                    <a:cs typeface="+mn-cs"/>
                  </a:defRPr>
                </a:pPr>
                <a:endParaRPr lang="fr-FR"/>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Feuil1!$A$2:$A$4</c:f>
              <c:strCache>
                <c:ptCount val="3"/>
                <c:pt idx="0">
                  <c:v>Subvention maximale</c:v>
                </c:pt>
                <c:pt idx="1">
                  <c:v>Autofinancement minimum</c:v>
                </c:pt>
                <c:pt idx="2">
                  <c:v>Autres sources de financement (subventions publiques ou privées, recettes, sponsoring, entrées…)</c:v>
                </c:pt>
              </c:strCache>
            </c:strRef>
          </c:cat>
          <c:val>
            <c:numRef>
              <c:f>Feuil1!$B$2:$B$4</c:f>
              <c:numCache>
                <c:formatCode>General</c:formatCode>
                <c:ptCount val="3"/>
                <c:pt idx="0">
                  <c:v>50</c:v>
                </c:pt>
                <c:pt idx="1">
                  <c:v>20</c:v>
                </c:pt>
                <c:pt idx="2">
                  <c:v>30</c:v>
                </c:pt>
              </c:numCache>
            </c:numRef>
          </c:val>
          <c:extLst>
            <c:ext xmlns:c16="http://schemas.microsoft.com/office/drawing/2014/chart" uri="{C3380CC4-5D6E-409C-BE32-E72D297353CC}">
              <c16:uniqueId val="{00000006-DD32-4C93-8B6A-9750DF590A8A}"/>
            </c:ext>
          </c:extLst>
        </c:ser>
        <c:dLbls>
          <c:dLblPos val="inEnd"/>
          <c:showLegendKey val="0"/>
          <c:showVal val="0"/>
          <c:showCatName val="1"/>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Roboto" pitchFamily="2" charset="0"/>
              <a:ea typeface="Roboto" pitchFamily="2" charset="0"/>
              <a:cs typeface="+mn-cs"/>
            </a:defRPr>
          </a:pPr>
          <a:endParaRPr lang="fr-F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0C4144"/>
      </a:dk2>
      <a:lt2>
        <a:srgbClr val="E7E6E6"/>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68C69-B8F4-4E66-AB80-E83C72CD252A}">
  <ds:schemaRefs>
    <ds:schemaRef ds:uri="http://schemas.microsoft.com/sharepoint/v3/contenttype/forms"/>
  </ds:schemaRefs>
</ds:datastoreItem>
</file>

<file path=customXml/itemProps2.xml><?xml version="1.0" encoding="utf-8"?>
<ds:datastoreItem xmlns:ds="http://schemas.openxmlformats.org/officeDocument/2006/customXml" ds:itemID="{6760A271-FEC8-44D5-B490-8BF3A45AF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847D0-3E07-43BA-AAD0-DDF7E349D661}">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4.xml><?xml version="1.0" encoding="utf-8"?>
<ds:datastoreItem xmlns:ds="http://schemas.openxmlformats.org/officeDocument/2006/customXml" ds:itemID="{6277B77C-C1ED-4E25-A2D7-94621BA64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2256</Words>
  <Characters>13087</Characters>
  <Application>Microsoft Office Word</Application>
  <DocSecurity>0</DocSecurity>
  <Lines>207</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15264</CharactersWithSpaces>
  <SharedDoc>false</SharedDoc>
  <HLinks>
    <vt:vector size="120" baseType="variant">
      <vt:variant>
        <vt:i4>4063319</vt:i4>
      </vt:variant>
      <vt:variant>
        <vt:i4>108</vt:i4>
      </vt:variant>
      <vt:variant>
        <vt:i4>0</vt:i4>
      </vt:variant>
      <vt:variant>
        <vt:i4>5</vt:i4>
      </vt:variant>
      <vt:variant>
        <vt:lpwstr>mailto:marie.heguy-urain@euroregion-naen.eu</vt:lpwstr>
      </vt:variant>
      <vt:variant>
        <vt:lpwstr/>
      </vt:variant>
      <vt:variant>
        <vt:i4>3014776</vt:i4>
      </vt:variant>
      <vt:variant>
        <vt:i4>105</vt:i4>
      </vt:variant>
      <vt:variant>
        <vt:i4>0</vt:i4>
      </vt:variant>
      <vt:variant>
        <vt:i4>5</vt:i4>
      </vt:variant>
      <vt:variant>
        <vt:lpwstr>http://www.euroregion-naen.eu/</vt:lpwstr>
      </vt:variant>
      <vt:variant>
        <vt:lpwstr/>
      </vt:variant>
      <vt:variant>
        <vt:i4>3014776</vt:i4>
      </vt:variant>
      <vt:variant>
        <vt:i4>102</vt:i4>
      </vt:variant>
      <vt:variant>
        <vt:i4>0</vt:i4>
      </vt:variant>
      <vt:variant>
        <vt:i4>5</vt:i4>
      </vt:variant>
      <vt:variant>
        <vt:lpwstr>http://www.euroregion-naen.eu/</vt:lpwstr>
      </vt:variant>
      <vt:variant>
        <vt:lpwstr/>
      </vt:variant>
      <vt:variant>
        <vt:i4>1638520</vt:i4>
      </vt:variant>
      <vt:variant>
        <vt:i4>99</vt:i4>
      </vt:variant>
      <vt:variant>
        <vt:i4>0</vt:i4>
      </vt:variant>
      <vt:variant>
        <vt:i4>5</vt:i4>
      </vt:variant>
      <vt:variant>
        <vt:lpwstr>https://www.euroregion-naen.eu/wp-content/uploads/2019/12/PS_FRA_site_.pdf</vt:lpwstr>
      </vt:variant>
      <vt:variant>
        <vt:lpwstr/>
      </vt:variant>
      <vt:variant>
        <vt:i4>2031669</vt:i4>
      </vt:variant>
      <vt:variant>
        <vt:i4>92</vt:i4>
      </vt:variant>
      <vt:variant>
        <vt:i4>0</vt:i4>
      </vt:variant>
      <vt:variant>
        <vt:i4>5</vt:i4>
      </vt:variant>
      <vt:variant>
        <vt:lpwstr/>
      </vt:variant>
      <vt:variant>
        <vt:lpwstr>_Toc96519906</vt:lpwstr>
      </vt:variant>
      <vt:variant>
        <vt:i4>1835061</vt:i4>
      </vt:variant>
      <vt:variant>
        <vt:i4>86</vt:i4>
      </vt:variant>
      <vt:variant>
        <vt:i4>0</vt:i4>
      </vt:variant>
      <vt:variant>
        <vt:i4>5</vt:i4>
      </vt:variant>
      <vt:variant>
        <vt:lpwstr/>
      </vt:variant>
      <vt:variant>
        <vt:lpwstr>_Toc96519905</vt:lpwstr>
      </vt:variant>
      <vt:variant>
        <vt:i4>1900597</vt:i4>
      </vt:variant>
      <vt:variant>
        <vt:i4>80</vt:i4>
      </vt:variant>
      <vt:variant>
        <vt:i4>0</vt:i4>
      </vt:variant>
      <vt:variant>
        <vt:i4>5</vt:i4>
      </vt:variant>
      <vt:variant>
        <vt:lpwstr/>
      </vt:variant>
      <vt:variant>
        <vt:lpwstr>_Toc96519904</vt:lpwstr>
      </vt:variant>
      <vt:variant>
        <vt:i4>1703989</vt:i4>
      </vt:variant>
      <vt:variant>
        <vt:i4>74</vt:i4>
      </vt:variant>
      <vt:variant>
        <vt:i4>0</vt:i4>
      </vt:variant>
      <vt:variant>
        <vt:i4>5</vt:i4>
      </vt:variant>
      <vt:variant>
        <vt:lpwstr/>
      </vt:variant>
      <vt:variant>
        <vt:lpwstr>_Toc96519903</vt:lpwstr>
      </vt:variant>
      <vt:variant>
        <vt:i4>1769525</vt:i4>
      </vt:variant>
      <vt:variant>
        <vt:i4>68</vt:i4>
      </vt:variant>
      <vt:variant>
        <vt:i4>0</vt:i4>
      </vt:variant>
      <vt:variant>
        <vt:i4>5</vt:i4>
      </vt:variant>
      <vt:variant>
        <vt:lpwstr/>
      </vt:variant>
      <vt:variant>
        <vt:lpwstr>_Toc96519902</vt:lpwstr>
      </vt:variant>
      <vt:variant>
        <vt:i4>1572917</vt:i4>
      </vt:variant>
      <vt:variant>
        <vt:i4>62</vt:i4>
      </vt:variant>
      <vt:variant>
        <vt:i4>0</vt:i4>
      </vt:variant>
      <vt:variant>
        <vt:i4>5</vt:i4>
      </vt:variant>
      <vt:variant>
        <vt:lpwstr/>
      </vt:variant>
      <vt:variant>
        <vt:lpwstr>_Toc96519901</vt:lpwstr>
      </vt:variant>
      <vt:variant>
        <vt:i4>1638453</vt:i4>
      </vt:variant>
      <vt:variant>
        <vt:i4>56</vt:i4>
      </vt:variant>
      <vt:variant>
        <vt:i4>0</vt:i4>
      </vt:variant>
      <vt:variant>
        <vt:i4>5</vt:i4>
      </vt:variant>
      <vt:variant>
        <vt:lpwstr/>
      </vt:variant>
      <vt:variant>
        <vt:lpwstr>_Toc96519900</vt:lpwstr>
      </vt:variant>
      <vt:variant>
        <vt:i4>1114172</vt:i4>
      </vt:variant>
      <vt:variant>
        <vt:i4>50</vt:i4>
      </vt:variant>
      <vt:variant>
        <vt:i4>0</vt:i4>
      </vt:variant>
      <vt:variant>
        <vt:i4>5</vt:i4>
      </vt:variant>
      <vt:variant>
        <vt:lpwstr/>
      </vt:variant>
      <vt:variant>
        <vt:lpwstr>_Toc96519899</vt:lpwstr>
      </vt:variant>
      <vt:variant>
        <vt:i4>1048636</vt:i4>
      </vt:variant>
      <vt:variant>
        <vt:i4>44</vt:i4>
      </vt:variant>
      <vt:variant>
        <vt:i4>0</vt:i4>
      </vt:variant>
      <vt:variant>
        <vt:i4>5</vt:i4>
      </vt:variant>
      <vt:variant>
        <vt:lpwstr/>
      </vt:variant>
      <vt:variant>
        <vt:lpwstr>_Toc96519898</vt:lpwstr>
      </vt:variant>
      <vt:variant>
        <vt:i4>2031676</vt:i4>
      </vt:variant>
      <vt:variant>
        <vt:i4>38</vt:i4>
      </vt:variant>
      <vt:variant>
        <vt:i4>0</vt:i4>
      </vt:variant>
      <vt:variant>
        <vt:i4>5</vt:i4>
      </vt:variant>
      <vt:variant>
        <vt:lpwstr/>
      </vt:variant>
      <vt:variant>
        <vt:lpwstr>_Toc96519897</vt:lpwstr>
      </vt:variant>
      <vt:variant>
        <vt:i4>1966140</vt:i4>
      </vt:variant>
      <vt:variant>
        <vt:i4>32</vt:i4>
      </vt:variant>
      <vt:variant>
        <vt:i4>0</vt:i4>
      </vt:variant>
      <vt:variant>
        <vt:i4>5</vt:i4>
      </vt:variant>
      <vt:variant>
        <vt:lpwstr/>
      </vt:variant>
      <vt:variant>
        <vt:lpwstr>_Toc96519896</vt:lpwstr>
      </vt:variant>
      <vt:variant>
        <vt:i4>1900604</vt:i4>
      </vt:variant>
      <vt:variant>
        <vt:i4>26</vt:i4>
      </vt:variant>
      <vt:variant>
        <vt:i4>0</vt:i4>
      </vt:variant>
      <vt:variant>
        <vt:i4>5</vt:i4>
      </vt:variant>
      <vt:variant>
        <vt:lpwstr/>
      </vt:variant>
      <vt:variant>
        <vt:lpwstr>_Toc96519895</vt:lpwstr>
      </vt:variant>
      <vt:variant>
        <vt:i4>1835068</vt:i4>
      </vt:variant>
      <vt:variant>
        <vt:i4>20</vt:i4>
      </vt:variant>
      <vt:variant>
        <vt:i4>0</vt:i4>
      </vt:variant>
      <vt:variant>
        <vt:i4>5</vt:i4>
      </vt:variant>
      <vt:variant>
        <vt:lpwstr/>
      </vt:variant>
      <vt:variant>
        <vt:lpwstr>_Toc96519894</vt:lpwstr>
      </vt:variant>
      <vt:variant>
        <vt:i4>1769532</vt:i4>
      </vt:variant>
      <vt:variant>
        <vt:i4>14</vt:i4>
      </vt:variant>
      <vt:variant>
        <vt:i4>0</vt:i4>
      </vt:variant>
      <vt:variant>
        <vt:i4>5</vt:i4>
      </vt:variant>
      <vt:variant>
        <vt:lpwstr/>
      </vt:variant>
      <vt:variant>
        <vt:lpwstr>_Toc96519893</vt:lpwstr>
      </vt:variant>
      <vt:variant>
        <vt:i4>1703996</vt:i4>
      </vt:variant>
      <vt:variant>
        <vt:i4>8</vt:i4>
      </vt:variant>
      <vt:variant>
        <vt:i4>0</vt:i4>
      </vt:variant>
      <vt:variant>
        <vt:i4>5</vt:i4>
      </vt:variant>
      <vt:variant>
        <vt:lpwstr/>
      </vt:variant>
      <vt:variant>
        <vt:lpwstr>_Toc96519892</vt:lpwstr>
      </vt:variant>
      <vt:variant>
        <vt:i4>1638460</vt:i4>
      </vt:variant>
      <vt:variant>
        <vt:i4>2</vt:i4>
      </vt:variant>
      <vt:variant>
        <vt:i4>0</vt:i4>
      </vt:variant>
      <vt:variant>
        <vt:i4>5</vt:i4>
      </vt:variant>
      <vt:variant>
        <vt:lpwstr/>
      </vt:variant>
      <vt:variant>
        <vt:lpwstr>_Toc96519891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Leyre AZCONA</cp:lastModifiedBy>
  <cp:revision>3</cp:revision>
  <cp:lastPrinted>2022-09-12T14:01:00Z</cp:lastPrinted>
  <dcterms:created xsi:type="dcterms:W3CDTF">2022-09-28T14:22:00Z</dcterms:created>
  <dcterms:modified xsi:type="dcterms:W3CDTF">2022-10-02T16:28:00Z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